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Hacharoshet Street</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Or Yehuda, Israel</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Material Creditors Regarding Consensual Court Filing to Facilitate Court Supervised Completion of the QPoint Sale</w:t>
      </w:r>
    </w:p>
    <w:p>
      <w:pPr>
        <w:spacing w:after="0" w:line="22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As previously announced, HUB Cyber Security Ltd. (the “Company”) announced that it entered into a share purchase agreement with Martens Computer Consultants Ltd. and Malam Training Ltd. (collectively, the “Purchasers”), pursuant to which the Company agreed to sell (the “QPoint Sale”) to the Purchasers 100% of the issued and outstanding share capital of the Company’s subsidiaries, QPoint Technologies Ltd., Aginix Engineering and Project Management Ltd., QPoint Solutions Ltd., Sensecom Consulting and Project Management Ltd., and Integral Telemanagement Services Ltd. (collectively, the “QPoint Group”). The proceeds from the QPoint Sale are intended to be applied toward the repayment of substantially all of the debt owed to a senior secured creditor (the “Secured Creditor”), which is currently secured by a registered pledge on the shares of the QPoint Group (the “Pledged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14, 2026, the Israeli Competition Authority approved the QPoint Sale, fulfilling one of the main conditions to closing the QPoint Sale.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hereby provides notice that, in order to complete the QPoint Sale and satisfy the conditions precedent thereto, the Secured Creditor has filed an application to the court, with the consent of the Company and the Purchasers, to enforce its pledge on the Pledged Shares and appoint Adv. Dror Gidron and Adv. Karen Reichbach Segal as joint receivers solely over the Pledged Shares, to facilitate completion of the QPoint Sale on the same commercial terms, under court supervision.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the proceeds from the QPoint Sale are intended to repay the debt owed to the Secured Creditor under its secured loans, but will be insufficient to repay that debt in full, the Company believes that the QPoint Sale will not prejudice the Company’s other creditors. As previously announced, the QPoint Sale forms part of the measures being taken by the Company to implement a comprehensive restructuring and reduce its liabilities to third parties.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hearing on the secured creditor’s application to the court is scheduled for November 1, 2026, at 10:00 a.m. Israel time at the District Court of Tel Aviv-Jaffa (Case No. 59179-10-26).</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Report is being furnished and shall not be deemed “filed” for the purposes of Section 18 of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Limor Zur-Stoller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Limor Zur-Stoller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2026-10-27T12:57:13Z</dcterms:created>
  <dcterms:modified xsi:type="dcterms:W3CDTF">2026-10-27T12:57:13Z</dcterms:modified>
</cp:coreProperties>
</file>