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bdr w:val="single" w:sz="16" w:space="1" w:color="000000"/>
        </w:rPr>
      </w:pPr>
      <w:bookmarkStart w:id="0" w:name="ea0308497-6k_hubcyber.htm"/>
      <w:bookmarkStart w:id="1" w:name="ksea03084976k_hubcyber"/>
      <w:bookmarkEnd w:id="0"/>
      <w:bookmarkEnd w:id="1"/>
      <w:r>
        <w:rPr>
          <w:bdr w:val="single" w:sz="16"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UNITED STATES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SECURITIES AND EXCHANGE COMMISSION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Washington, D.C. 20549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FORM 6-K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REPORT OF FOREIGN PRIVATE ISSUER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PURSUANT TO RULE 13a-16 OR 15d-16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UNDER THE SECURITIES EXCHANGE ACT OF 1934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For the month of October 2026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Commission File Number 001-41634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HUB Cyber Security Ltd.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Not Applicable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(Translation of registrant’s name into English)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30 Hacharoshet Street</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Or Yehuda, Israel</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+972-3-924-4074</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(Address of principal executive office)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files or will file annual reports under cover of Form 20-F or Form 40-F.</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r>
        <w:rPr>
          <w:rFonts w:ascii="Times New Roman;Times;Serif" w:hAnsi="Times New Roman;Times;Serif"/>
          <w:b w:val="false"/>
          <w:i w:val="false"/>
          <w:caps w:val="false"/>
          <w:smallCaps w:val="false"/>
          <w:sz w:val="20"/>
        </w:rPr>
        <w:t>Form 20-F ☐     Form 40-F</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CONTENTS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Appointment of Directors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October 13, 2026, the Board of Directors (the “Board”) of HUB Cyber Security Ltd. (the “Company”) appointed Mr. Richard Paolone and Mr. Joseph Tung as members of the Board, effective immediately. Mr. Paolone and Mr. Tung will each serve as an independent director on the Board.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Mr. Paolone and Mr. Tung will be entitled to compensation for their service as directors in accordance with the Company’s shareholder-approved compensation terms for directors, and the Company expects to enter into a customary form of indemnification agreement with each of them.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October 13, 2026, the Company issued a press release titled “HUB Cyber Security Appoints Richard Paolone and Joseph Tung to its Board of Directors.” A copy of this press release is attached to this Report on Form 6-K (this “Report”) as Exhibit 99.1 and is incorporated herein by reference.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in this Report, including in Exhibit 99.1 attached hereto, is being furnished and shall not be deemed “filed” for the purposes of Section 18 of the Securities Exchange Act of 1934, as amended (the “Exchange Act”), or otherwise subject to the liabilities of that section, nor shall it be deemed incorporated by reference in any filing made by the Company under the Securities Act of 1933, as amended, or the Exchange Act, except as otherwise set forth herein or as shall be expressly set forth by specific reference in such a filing.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EXHIBIT INDEX </w:t>
      </w:r>
    </w:p>
    <w:p>
      <w:pPr>
        <w:pStyle w:val="TextBody"/>
        <w:bidi w:val="0"/>
        <w:spacing w:before="0" w:after="0"/>
        <w:ind w:left="0" w:right="0" w:hanging="0"/>
        <w:jc w:val="left"/>
        <w:rPr>
          <w:caps w:val="false"/>
          <w:smallCaps w:val="false"/>
        </w:rPr>
      </w:pPr>
      <w:r>
        <w:rPr>
          <w:caps w:val="false"/>
          <w:smallCaps w:val="false"/>
        </w:rPr>
        <w:t> </w:t>
      </w:r>
    </w:p>
    <w:tbl>
      <w:tblPr>
        <w:tblW w:w="5005" w:type="dxa"/>
        <w:jc w:val="left"/>
        <w:tblInd w:w="0" w:type="dxa"/>
        <w:tblLayout w:type="fixed"/>
        <w:tblCellMar>
          <w:top w:w="0" w:type="dxa"/>
          <w:left w:w="0" w:type="dxa"/>
          <w:bottom w:w="28" w:type="dxa"/>
          <w:right w:w="0" w:type="dxa"/>
        </w:tblCellMar>
      </w:tblPr>
      <w:tblGrid>
        <w:gridCol w:w="1205"/>
        <w:gridCol w:w="60"/>
        <w:gridCol w:w="3740"/>
      </w:tblGrid>
      <w:tr>
        <w:trPr/>
        <w:tc>
          <w:tcPr>
            <w:tcW w:w="1205" w:type="dxa"/>
            <w:tcBorders>
              <w:bottom w:val="single" w:sz="12" w:space="0" w:color="000000"/>
            </w:tcBorders>
            <w:vAlign w:val="center"/>
          </w:tcPr>
          <w:p>
            <w:pPr>
              <w:pStyle w:val="TableContents"/>
              <w:bidi w:val="0"/>
              <w:spacing w:before="0" w:after="283"/>
              <w:jc w:val="left"/>
              <w:rPr>
                <w:b/>
              </w:rPr>
            </w:pPr>
            <w:r>
              <w:rPr>
                <w:b/>
              </w:rPr>
              <w:t>Exhibit No.</w:t>
            </w:r>
          </w:p>
        </w:tc>
        <w:tc>
          <w:tcPr>
            <w:tcW w:w="60" w:type="dxa"/>
            <w:tcBorders/>
            <w:tcMar>
              <w:bottom w:w="0" w:type="dxa"/>
            </w:tcMar>
            <w:vAlign w:val="center"/>
          </w:tcPr>
          <w:p>
            <w:pPr>
              <w:pStyle w:val="TableContents"/>
              <w:bidi w:val="0"/>
              <w:spacing w:before="0" w:after="283"/>
              <w:jc w:val="left"/>
              <w:rPr/>
            </w:pPr>
            <w:r>
              <w:rPr/>
              <w:t> </w:t>
            </w:r>
          </w:p>
        </w:tc>
        <w:tc>
          <w:tcPr>
            <w:tcW w:w="3740" w:type="dxa"/>
            <w:tcBorders>
              <w:bottom w:val="single" w:sz="12" w:space="0" w:color="000000"/>
            </w:tcBorders>
            <w:vAlign w:val="center"/>
          </w:tcPr>
          <w:p>
            <w:pPr>
              <w:pStyle w:val="TableContents"/>
              <w:bidi w:val="0"/>
              <w:spacing w:before="0" w:after="283"/>
              <w:jc w:val="center"/>
              <w:rPr>
                <w:b/>
              </w:rPr>
            </w:pPr>
            <w:r>
              <w:rPr>
                <w:b/>
              </w:rPr>
              <w:t>Description</w:t>
            </w:r>
          </w:p>
        </w:tc>
      </w:tr>
      <w:tr>
        <w:trPr/>
        <w:tc>
          <w:tcPr>
            <w:tcW w:w="1205" w:type="dxa"/>
            <w:tcBorders/>
            <w:shd w:fill="CCEEFF" w:val="clear"/>
            <w:tcMar>
              <w:bottom w:w="0" w:type="dxa"/>
            </w:tcMar>
            <w:vAlign w:val="center"/>
          </w:tcPr>
          <w:p>
            <w:pPr>
              <w:pStyle w:val="TableContents"/>
              <w:bidi w:val="0"/>
              <w:spacing w:before="0" w:after="283"/>
              <w:jc w:val="left"/>
              <w:rPr/>
            </w:pPr>
            <w:r>
              <w:rPr/>
              <w:t>99.1</w:t>
            </w:r>
          </w:p>
        </w:tc>
        <w:tc>
          <w:tcPr>
            <w:tcW w:w="60" w:type="dxa"/>
            <w:tcBorders/>
            <w:shd w:fill="CCEEFF" w:val="clear"/>
            <w:tcMar>
              <w:bottom w:w="0" w:type="dxa"/>
            </w:tcMar>
            <w:vAlign w:val="center"/>
          </w:tcPr>
          <w:p>
            <w:pPr>
              <w:pStyle w:val="TableContents"/>
              <w:bidi w:val="0"/>
              <w:spacing w:before="0" w:after="283"/>
              <w:jc w:val="left"/>
              <w:rPr/>
            </w:pPr>
            <w:r>
              <w:rPr/>
              <w:t> </w:t>
            </w:r>
          </w:p>
        </w:tc>
        <w:tc>
          <w:tcPr>
            <w:tcW w:w="3740" w:type="dxa"/>
            <w:tcBorders/>
            <w:shd w:fill="CCEEFF" w:val="clear"/>
            <w:tcMar>
              <w:bottom w:w="0" w:type="dxa"/>
            </w:tcMar>
            <w:vAlign w:val="center"/>
          </w:tcPr>
          <w:p>
            <w:pPr>
              <w:pStyle w:val="TableContents"/>
              <w:bidi w:val="0"/>
              <w:spacing w:before="0" w:after="283"/>
              <w:jc w:val="left"/>
              <w:rPr/>
            </w:pPr>
            <w:hyperlink w:anchor="ea030849701ex99-1.htm">
              <w:r>
                <w:rPr>
                  <w:rStyle w:val="InternetLink"/>
                </w:rPr>
                <w:t>Press Release dated October 13, 2026.</w:t>
              </w:r>
            </w:hyperlink>
            <w:r>
              <w:rPr/>
              <w:t xml:space="preserve">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as amended, the registrant has duly caused this report to be signed on its behalf by the undersigned hereunto duly authorized.</w:t>
      </w:r>
    </w:p>
    <w:p>
      <w:pPr>
        <w:pStyle w:val="TextBody"/>
        <w:bidi w:val="0"/>
        <w:spacing w:before="0" w:after="0"/>
        <w:ind w:left="0" w:right="0" w:hanging="0"/>
        <w:jc w:val="center"/>
        <w:rPr>
          <w:caps w:val="false"/>
          <w:smallCaps w:val="false"/>
        </w:rPr>
      </w:pPr>
      <w:r>
        <w:rPr>
          <w:caps w:val="false"/>
          <w:smallCaps w:val="false"/>
        </w:rPr>
        <w:t> </w:t>
      </w:r>
    </w:p>
    <w:tbl>
      <w:tblPr>
        <w:tblW w:w="4929" w:type="dxa"/>
        <w:jc w:val="left"/>
        <w:tblInd w:w="0" w:type="dxa"/>
        <w:tblLayout w:type="fixed"/>
        <w:tblCellMar>
          <w:top w:w="0" w:type="dxa"/>
          <w:left w:w="0" w:type="dxa"/>
          <w:bottom w:w="0" w:type="dxa"/>
          <w:right w:w="0" w:type="dxa"/>
        </w:tblCellMar>
      </w:tblPr>
      <w:tblGrid>
        <w:gridCol w:w="2270"/>
        <w:gridCol w:w="374"/>
        <w:gridCol w:w="2285"/>
      </w:tblGrid>
      <w:tr>
        <w:trPr/>
        <w:tc>
          <w:tcPr>
            <w:tcW w:w="2270" w:type="dxa"/>
            <w:tcBorders/>
            <w:vAlign w:val="center"/>
          </w:tcPr>
          <w:p>
            <w:pPr>
              <w:pStyle w:val="TableContents"/>
              <w:bidi w:val="0"/>
              <w:spacing w:before="0" w:after="283"/>
              <w:jc w:val="left"/>
              <w:rPr/>
            </w:pPr>
            <w:r>
              <w:rPr/>
              <w:t> </w:t>
            </w:r>
          </w:p>
        </w:tc>
        <w:tc>
          <w:tcPr>
            <w:tcW w:w="2659" w:type="dxa"/>
            <w:gridSpan w:val="2"/>
            <w:tcBorders/>
            <w:vAlign w:val="center"/>
          </w:tcPr>
          <w:p>
            <w:pPr>
              <w:pStyle w:val="TableContents"/>
              <w:bidi w:val="0"/>
              <w:spacing w:before="0" w:after="283"/>
              <w:jc w:val="left"/>
              <w:rPr>
                <w:b/>
              </w:rPr>
            </w:pPr>
            <w:r>
              <w:rPr>
                <w:b/>
              </w:rPr>
              <w:t>HUB Cyber Security Ltd.</w:t>
            </w:r>
          </w:p>
        </w:tc>
      </w:tr>
      <w:tr>
        <w:trPr/>
        <w:tc>
          <w:tcPr>
            <w:tcW w:w="2270" w:type="dxa"/>
            <w:tcBorders/>
            <w:vAlign w:val="center"/>
          </w:tcPr>
          <w:p>
            <w:pPr>
              <w:pStyle w:val="TableContents"/>
              <w:bidi w:val="0"/>
              <w:spacing w:before="0" w:after="283"/>
              <w:jc w:val="center"/>
              <w:rPr/>
            </w:pPr>
            <w:r>
              <w:rPr/>
              <w:t> </w:t>
            </w:r>
          </w:p>
        </w:tc>
        <w:tc>
          <w:tcPr>
            <w:tcW w:w="2659" w:type="dxa"/>
            <w:gridSpan w:val="2"/>
            <w:tcBorders/>
            <w:vAlign w:val="center"/>
          </w:tcPr>
          <w:p>
            <w:pPr>
              <w:pStyle w:val="TableContents"/>
              <w:bidi w:val="0"/>
              <w:spacing w:before="0" w:after="283"/>
              <w:jc w:val="center"/>
              <w:rPr/>
            </w:pPr>
            <w:r>
              <w:rPr/>
              <w:t> </w:t>
            </w:r>
          </w:p>
        </w:tc>
      </w:tr>
      <w:tr>
        <w:trPr/>
        <w:tc>
          <w:tcPr>
            <w:tcW w:w="2270" w:type="dxa"/>
            <w:tcBorders/>
            <w:vAlign w:val="center"/>
          </w:tcPr>
          <w:p>
            <w:pPr>
              <w:pStyle w:val="TableContents"/>
              <w:bidi w:val="0"/>
              <w:spacing w:before="0" w:after="283"/>
              <w:jc w:val="left"/>
              <w:rPr/>
            </w:pPr>
            <w:r>
              <w:rPr/>
              <w:t>Date: October 13, 2026</w:t>
            </w:r>
          </w:p>
        </w:tc>
        <w:tc>
          <w:tcPr>
            <w:tcW w:w="374" w:type="dxa"/>
            <w:tcBorders/>
            <w:vAlign w:val="center"/>
          </w:tcPr>
          <w:p>
            <w:pPr>
              <w:pStyle w:val="TableContents"/>
              <w:bidi w:val="0"/>
              <w:spacing w:before="0" w:after="283"/>
              <w:jc w:val="center"/>
              <w:rPr/>
            </w:pPr>
            <w:r>
              <w:rPr/>
              <w:t>By:</w:t>
            </w:r>
          </w:p>
        </w:tc>
        <w:tc>
          <w:tcPr>
            <w:tcW w:w="2285" w:type="dxa"/>
            <w:tcBorders>
              <w:bottom w:val="single" w:sz="12" w:space="0" w:color="000000"/>
            </w:tcBorders>
            <w:tcMar>
              <w:bottom w:w="28" w:type="dxa"/>
            </w:tcMar>
            <w:vAlign w:val="center"/>
          </w:tcPr>
          <w:p>
            <w:pPr>
              <w:pStyle w:val="TableContents"/>
              <w:bidi w:val="0"/>
              <w:spacing w:before="0" w:after="283"/>
              <w:jc w:val="left"/>
              <w:rPr/>
            </w:pPr>
            <w:r>
              <w:rPr/>
              <w:t>/s/ Limor Zur-Stoller</w:t>
            </w:r>
          </w:p>
        </w:tc>
      </w:tr>
      <w:tr>
        <w:trPr/>
        <w:tc>
          <w:tcPr>
            <w:tcW w:w="2270" w:type="dxa"/>
            <w:tcBorders/>
            <w:vAlign w:val="center"/>
          </w:tcPr>
          <w:p>
            <w:pPr>
              <w:pStyle w:val="TableContents"/>
              <w:bidi w:val="0"/>
              <w:spacing w:before="0" w:after="283"/>
              <w:jc w:val="center"/>
              <w:rPr/>
            </w:pPr>
            <w:r>
              <w:rPr/>
              <w:t> </w:t>
            </w:r>
          </w:p>
        </w:tc>
        <w:tc>
          <w:tcPr>
            <w:tcW w:w="374" w:type="dxa"/>
            <w:tcBorders/>
            <w:vAlign w:val="center"/>
          </w:tcPr>
          <w:p>
            <w:pPr>
              <w:pStyle w:val="TableContents"/>
              <w:bidi w:val="0"/>
              <w:spacing w:before="0" w:after="283"/>
              <w:jc w:val="center"/>
              <w:rPr/>
            </w:pPr>
            <w:r>
              <w:rPr/>
              <w:t> </w:t>
            </w:r>
          </w:p>
        </w:tc>
        <w:tc>
          <w:tcPr>
            <w:tcW w:w="2285" w:type="dxa"/>
            <w:tcBorders/>
            <w:vAlign w:val="center"/>
          </w:tcPr>
          <w:p>
            <w:pPr>
              <w:pStyle w:val="TableContents"/>
              <w:bidi w:val="0"/>
              <w:spacing w:before="0" w:after="283"/>
              <w:jc w:val="left"/>
              <w:rPr/>
            </w:pPr>
            <w:r>
              <w:rPr/>
              <w:t>Limor Zur-Stoller</w:t>
            </w:r>
          </w:p>
        </w:tc>
      </w:tr>
      <w:tr>
        <w:trPr/>
        <w:tc>
          <w:tcPr>
            <w:tcW w:w="2270" w:type="dxa"/>
            <w:tcBorders/>
            <w:vAlign w:val="center"/>
          </w:tcPr>
          <w:p>
            <w:pPr>
              <w:pStyle w:val="TableContents"/>
              <w:bidi w:val="0"/>
              <w:spacing w:before="0" w:after="283"/>
              <w:jc w:val="center"/>
              <w:rPr/>
            </w:pPr>
            <w:r>
              <w:rPr/>
              <w:t> </w:t>
            </w:r>
          </w:p>
        </w:tc>
        <w:tc>
          <w:tcPr>
            <w:tcW w:w="374" w:type="dxa"/>
            <w:tcBorders/>
            <w:vAlign w:val="center"/>
          </w:tcPr>
          <w:p>
            <w:pPr>
              <w:pStyle w:val="TableContents"/>
              <w:bidi w:val="0"/>
              <w:spacing w:before="0" w:after="283"/>
              <w:jc w:val="center"/>
              <w:rPr/>
            </w:pPr>
            <w:r>
              <w:rPr/>
              <w:t> </w:t>
            </w:r>
          </w:p>
        </w:tc>
        <w:tc>
          <w:tcPr>
            <w:tcW w:w="2285" w:type="dxa"/>
            <w:tcBorders/>
            <w:vAlign w:val="center"/>
          </w:tcPr>
          <w:p>
            <w:pPr>
              <w:pStyle w:val="TableContents"/>
              <w:bidi w:val="0"/>
              <w:spacing w:before="0" w:after="283"/>
              <w:jc w:val="left"/>
              <w:rPr/>
            </w:pPr>
            <w:r>
              <w:rPr/>
              <w:t>Chief Financial Officer</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2" w:name="ea030849701ex99-1.htm"/>
      <w:bookmarkStart w:id="3" w:name="ksea030849701ex991"/>
      <w:bookmarkEnd w:id="2"/>
      <w:bookmarkEnd w:id="3"/>
      <w:r>
        <w:rPr>
          <w:rFonts w:ascii="Times New Roman;Times;Serif" w:hAnsi="Times New Roman;Times;Serif"/>
          <w:b/>
          <w:i w:val="false"/>
          <w:caps w:val="false"/>
          <w:smallCaps w:val="false"/>
          <w:sz w:val="20"/>
        </w:rPr>
        <w:t>Exhibit 99.1</w:t>
      </w:r>
      <w:r>
        <w:br w:type="page"/>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HUB Cyber Security Appoints Richard Paolone and Joseph Tung to its Board of Directors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Two experienced securities and capital markets lawyers with U.S.-listed public company board experience join HUB's Board as the Company continues to strengthen its corporate governance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TEL AVIV, Israel, Oct. 13, 2026 (GLOBE NEWSWIRE) -- </w:t>
      </w:r>
      <w:r>
        <w:rPr>
          <w:rFonts w:ascii="Times New Roman;Times;Serif" w:hAnsi="Times New Roman;Times;Serif"/>
          <w:b/>
          <w:i w:val="false"/>
          <w:caps w:val="false"/>
          <w:smallCaps w:val="false"/>
          <w:sz w:val="20"/>
        </w:rPr>
        <w:t>HUB Cyber Security Ltd.</w:t>
      </w:r>
      <w:r>
        <w:rPr>
          <w:rFonts w:ascii="Times New Roman;Times;Serif" w:hAnsi="Times New Roman;Times;Serif"/>
          <w:b w:val="false"/>
          <w:i w:val="false"/>
          <w:caps w:val="false"/>
          <w:smallCaps w:val="false"/>
          <w:sz w:val="20"/>
        </w:rPr>
        <w:t xml:space="preserve"> (Nasdaq: HUBC) (“</w:t>
      </w:r>
      <w:r>
        <w:rPr>
          <w:rFonts w:ascii="Times New Roman;Times;Serif" w:hAnsi="Times New Roman;Times;Serif"/>
          <w:b/>
          <w:i w:val="false"/>
          <w:caps w:val="false"/>
          <w:smallCaps w:val="false"/>
          <w:sz w:val="20"/>
        </w:rPr>
        <w:t>HUB</w:t>
      </w:r>
      <w:r>
        <w:rPr>
          <w:rFonts w:ascii="Times New Roman;Times;Serif" w:hAnsi="Times New Roman;Times;Serif"/>
          <w:b w:val="false"/>
          <w:i w:val="false"/>
          <w:caps w:val="false"/>
          <w:smallCaps w:val="false"/>
          <w:sz w:val="20"/>
        </w:rPr>
        <w:t>” or the “</w:t>
      </w:r>
      <w:r>
        <w:rPr>
          <w:rFonts w:ascii="Times New Roman;Times;Serif" w:hAnsi="Times New Roman;Times;Serif"/>
          <w:b/>
          <w:i w:val="false"/>
          <w:caps w:val="false"/>
          <w:smallCaps w:val="false"/>
          <w:sz w:val="20"/>
        </w:rPr>
        <w:t>Company</w:t>
      </w:r>
      <w:r>
        <w:rPr>
          <w:rFonts w:ascii="Times New Roman;Times;Serif" w:hAnsi="Times New Roman;Times;Serif"/>
          <w:b w:val="false"/>
          <w:i w:val="false"/>
          <w:caps w:val="false"/>
          <w:smallCaps w:val="false"/>
          <w:sz w:val="20"/>
        </w:rPr>
        <w:t>”) today announced that its Board of Directors (the “</w:t>
      </w:r>
      <w:r>
        <w:rPr>
          <w:rFonts w:ascii="Times New Roman;Times;Serif" w:hAnsi="Times New Roman;Times;Serif"/>
          <w:b/>
          <w:i w:val="false"/>
          <w:caps w:val="false"/>
          <w:smallCaps w:val="false"/>
          <w:sz w:val="20"/>
        </w:rPr>
        <w:t>Board</w:t>
      </w:r>
      <w:r>
        <w:rPr>
          <w:rFonts w:ascii="Times New Roman;Times;Serif" w:hAnsi="Times New Roman;Times;Serif"/>
          <w:b w:val="false"/>
          <w:i w:val="false"/>
          <w:caps w:val="false"/>
          <w:smallCaps w:val="false"/>
          <w:sz w:val="20"/>
        </w:rPr>
        <w:t>”) has appointed Mr. Richard Paolone and Mr. Joseph Tung as directors of the Company, effective immediately. Mr. Paolone and Mr. Tung will each serve as an independent director on the Board.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Mr. Paolone and Mr. Tung each bring extensive experience in securities law, corporate finance, mergers and acquisitions and corporate governance, as well as prior service on the boards of several U.S.-listed companies. Their appointments are expected to further strengthen the Board’s oversight and governance capabilities as the Company continues to implement its comprehensive restructuring and explore strategic alternatives intended to maximize value for shareholders.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Renah Persofsky, Active Chairperson of the Board, commented: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On behalf of the Board, I am delighted to welcome Richard and Joseph to HUB. Both bring deep expertise in securities regulation, capital markets and public company governance, together with hands-on boardroom experience at U.S.-listed companies. Their insight will be invaluable as we continue to strengthen HUB’s corporate governance, improve the Company’s financial position and pursue strategic opportunities to create value for all of our shareholders. We look forward to working closely with them.”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Richard Paolone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Richard Paolone is a partner in the Securities &amp; Capital Markets group of Oakridge Law LLP, which he joined in December 2024. He is a Toronto-based securities lawyer focused on corporate finance and mergers and acquisitions. Mr. Paolone has served on the boards of three U.S.-listed companies. Since April 2025, he has served as a director and audit committee member of Mixed Martial Arts Group Limited (NYSE American: MMA). From February 2025 to September 2025, he served as Interim Chief Executive Officer and Chairman of Entero Therapeutics, Inc., now GridAI Technologies Corp., and from September 2024 to June 2025 as a director of iSpecimen Inc., including as Chairman from February 2025. He also serves on the boards of public companies in Canada and the United Kingdom, including Ashington Innovation plc (LSE: ASHI). Mr. Paolone holds a B.A. from Mount Royal University and a J.D. from Bond University, and is licensed to practice law in Ontario.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Joseph Tung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Joseph Tung is a partner in the Securities &amp; Capital Markets group of Oakridge Law LLP, which he joined in December 2024, and a securities and corporate lawyer with over a decade of experience advising public and private companies on offerings, stock exchange listings, reverse takeovers, mergers and acquisitions and corporate governance. Mr. Tung has served on the boards of two Nasdaq-listed companies. From February 2025 to September 2025, he served as an independent director of Shuttle Pharmaceuticals Holdings, Inc., where he chaired the Nominating and Corporate Governance Committee, and from April 2025 to March 2026 as a director of iCoreConnect, Inc. Mr. Tung holds Canadian and U.S. J.D. degrees from the University of Windsor and the University of Detroit Mercy and a Bachelor of Mathematics from the University of Waterloo, has passed Level II of the CFA Program, and is licensed to practice law in Ontario.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HUB Cyber Security Ltd.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HUB Cyber Security Ltd. </w:t>
      </w:r>
      <w:r>
        <w:rPr>
          <w:rFonts w:ascii="Times New Roman;Times;Serif" w:hAnsi="Times New Roman;Times;Serif"/>
          <w:b w:val="false"/>
          <w:i w:val="false"/>
          <w:caps w:val="false"/>
          <w:smallCaps w:val="false"/>
          <w:sz w:val="20"/>
        </w:rPr>
        <w:t>(Nasdaq: HUBC) has operated in confidential computing, AI-driven data fabric, and cybersecurity. HUB’s Secured Data Fabric has historically empowered organizations to virtualize, secure, and analyze sensitive data across borders and silos generating real-time intelligence while meeting the highest regulatory standards. HUB is currently implementing a comprehensive restructuring, during which its Board of Directors and management team have taken steps to improve liquidity, simplify the Company’s organizational structure, cut operating costs and strengthen corporate governance. The Board of Directors continues to explore various strategic alternatives intended to maximize value for shareholders and position HUB for future growth.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Forward-Looking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press release contains forward-looking statements for purposes of the safe harbor provisions under the United States Private Securities Litigation Reform Act of 1995. Forward-looking statements are typically identified by words such as “plan,” “believe,” “expect,” “anticipate,” “intend,” “outlook,” “estimate,” “future,” “forecast,” “project,” “continue,” “could,” “may,” “might,” “possible,” “potential,” “predict,” “seem,” “should,” “will,” “would” and other similar words and expressions, but the absence of these words does not mean that a statement is not forward-looking.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forward-looking statements are based on the current expectations of the management of HUB, as applicable, and are inherently subject to uncertainties and changes in circumstances and their potential effects and speak only as of the date of such statement. There can be no assurance that future developments will be those that have been anticipated. These forward-looking statements involve a number of risks, uncertainties, or other assumptions that may cause actual results or performance to be materially different from those expressed or implied by these forward-looking statements. These risks and uncertainties include, but are not limited to, those discussed and identified in public filings made with the SEC by HUB and the following: (i) the ability to meet stock exchange continued listing standards and remain listed on the Nasdaq; (ii) significant uncertainty regarding the adequacy of HUB’s liquidity and capital resources and its ability to repay its obligations as they become due; (iii) expectations regarding HUB’s strategies and future financial performance, including its future business plans or objectives, prospective performance and opportunities and competitors, revenues, products and services, pricing, operating expenses, market trends, liquidity, cash flows and uses of cash, capital expenditures, and HUB’s ability to invest in growth initiatives and pursue acquisition opportunities; (iv) the outcome of any legal or regulatory proceedings against HUB in connection with our previously announced internal investigation or otherwise; (v) competition, the ability of HUB to grow and manage growth profitably, maintain relationships with customers and suppliers and retain its management and key employees; (vi) limited liquidity and trading of HUB’s securities; (vii) geopolitical risk, including military action and related sanctions, and changes in applicable laws or regulations; (viii) the possibility that HUB may be adversely affected by other economic, business, and/or competitive factors; and (ix) other risks and uncertainties set forth in the sections entitled “Risk Factors” and “Cautionary Statement Regarding Forward-Looking Statements” in HUB’s Annual Report on Form 20-F filed on July 17,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Should one or more of these risks or uncertainties materialize or should any of the assumptions made by the management of HUB prove incorrect, actual results may vary in material respects from those expressed or implied in these forward-looking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subsequent written and oral forward-looking statements concerning HUB or other matters addressed in this press release and attributable to HUB or any person acting on its behalf are expressly qualified in their entirety by the cautionary statements contained or referred to in the press release. Except to the extent required by applicable law or regulation, HUB undertakes no obligation to update these forward-looking statements to reflect events or circumstances after the date of this press release to reflect the occurrence of unanticipated events.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further information or inquiries, please contact: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info@hubsecurity.com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1581</Words>
  <Characters>8979</Characters>
  <CharactersWithSpaces>10581</CharactersWithSpaces>
  <Paragraphs>119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