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062-6k_hubcyber.htm"/>
      <w:bookmarkStart w:id="1" w:name="ksea02990626k_hubcyb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001-41634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Hacharoshet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Yehuda, Israel</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of Evofem Biosciences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HUB Cyber Security Ltd. (the “Company” or “HUBC”) entered into a Securities Purchase Agreement (the “SPA”) with the seller named therein (the “Seller”), pursuant to which the Company purchased from the Seller certain purchase rights (the “Purchase Rights”) exercisable for shares of common stock of Evofem Biosciences, Inc. (“Evofem”) at a price of $0.0154 per share (subject to adjustment). The closing of the transactions contemplated by the SPA occurred on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Rights have a face amount of $4,000,000, which enable the holder thereof to purchase up to 259.74 million shares of Evofem (at a price of $0.0154 per share). The aggregate purchase price for the Purchase Rights was $15,200,000 (equal to 3.8 times the face amount), payable solely in ordinary shares and/or pre-funded warrants to purchase ordinary shares (“Pre-Funded Warrants”) of the Company at a price of $1.50 per share (the “Per Share Price”). As a result, the total consideration consisted of 10,133,333 shares (the “Consideration Shares”), comprised of 590,107 ordinary shares of the Company and 9,543,226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entitles the holder to purchase one ordinary share of the Company at an exercise price of $0.001 per share may be exercised on a cash or cashless basis, and is not exercisable to the extent the holder would exceed the beneficial ownership limitation of 4.99% applicable to the Seller (the “Beneficial Ownership Limitation”). The Pre-Funded Warrants have no expiration. The allocation between ordinary shares and PFWs was determined based on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the aggregate Consideration Shares issuable under the SPA and under the previously disclosed agreements entered into with other holders of Evofem junior notes shall not exceed 40,000,000 ordinary shares of the Company. The Company has agreed to call a shareholders’ meeting to approve the full exercise of the Pre-Funded Warrants issued under the SPA and any necessary increase in the Company’s authorized share capital. Upon receipt of such shareholder approval, the Beneficial Ownership Limitation applicable to the Pre-Funded Warrants will automatically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SPA and the Pre-Funded Warrants does not purport to be complete and is qualified in its entirety by reference to the full text of the SPA and the Pre-Funded Warrant, copies of which are filed as Exhibits 99.1 and 99.2 hereto,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of PR Capital Limited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entered into an engagement letter (the “Engagement Letter”) with PR Capital Limited Co., a California general corporation (“PR Capital”), pursuant to which PR Capital was engaged as the Company’s non-exclusive financial advisor solely in connection with proposed business combination and other possible transactions between the Company and Evofem,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engagement has a term of seven (7) months. As compensation for its advisory services, PR Capital was issued a combination of 2,627,118 ordinary shares and pre-funded warrants of the Company (to the extent that the issuance of ordinary shares would cause PR Capital to beneficially own more than 4.99% of the Company’s outstanding ordinary shares), which represented approximately 2.5% of the valuation ascribed to Evofem in a potential Transaction (the “Advisory 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Advisory Fee Shares, 2,101,694 shares have been designated as “Restricted Shares” that are subject to forfeiture. The Restricted Shares will be forfeited and returned to the Company for no consideration if (i) the Transactions are not consummated during the engagement period or (ii) the Engagement Letter is terminated under certain specified circumstances. The Restricted Shares carry a restrictive legend prohibiting any transfer or pledge until the consummation of the Transaction. The remaining 525,424 Advisory Fee Shares issued are not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call a shareholders’ meeting to approve the full exercise of any Pre-Funded Warrants issued to PR Capital and any necessary increase in the Company’s authorized share capital. Upon receipt of such shareholder approval, the 4.99% beneficial ownership limitation applicable to the Pre-Funded Warrants will automatically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engagement on 10 business days’ written notice, and either party may terminate immediately for material breach by the other party. If PR Capital terminates the Engagement Letter (other than for the Company’s material breach or fraud), PR Capital forfeits all compensation, including any Restricted Shares. If the Company terminates for PR Capital’s material breach, gross negligence, or fraud, PR Capital likewise forfeits all compensation, including any Restricted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Termination of Potential Ferrox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had entered into a Term Sheet for the acquisition of 100% of Ferrox Critical Minerals Ltd. (“Ferrox”) and its Tivani minerals project in South Africa. The Company and Ferrox have mutually decided not to move forward with the proposed transaction and no further discussions between the parties remain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on Form 6-K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or the Exchange Act, except as otherwise set forth herein or as shall be expressly set forth by specific reference in such a filing.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spacing w:before="0" w:after="283"/>
              <w:jc w:val="left"/>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8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both"/>
              <w:rPr/>
            </w:pPr>
            <w:hyperlink w:anchor="ea029906201ex99-1.htm">
              <w:r>
                <w:rPr>
                  <w:rStyle w:val="InternetLink"/>
                  <w:sz w:val="20"/>
                </w:rPr>
                <w:t>Form of Purchase Agreement, dated as of July 20, 2026, by and among HUB Cyber Security Ltd. and the Seller party thereto</w:t>
              </w:r>
            </w:hyperlink>
          </w:p>
        </w:tc>
      </w:tr>
      <w:tr>
        <w:trPr/>
        <w:tc>
          <w:tcPr>
            <w:tcW w:w="785"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0" w:type="dxa"/>
            <w:tcBorders/>
            <w:shd w:fill="FFFFFF" w:val="clear"/>
            <w:tcMar>
              <w:bottom w:w="0" w:type="dxa"/>
            </w:tcMar>
            <w:vAlign w:val="center"/>
          </w:tcPr>
          <w:p>
            <w:pPr>
              <w:pStyle w:val="TableContents"/>
              <w:bidi w:val="0"/>
              <w:spacing w:before="0" w:after="283"/>
              <w:jc w:val="both"/>
              <w:rPr/>
            </w:pPr>
            <w:hyperlink w:anchor="ea029906201ex99-2.htm">
              <w:r>
                <w:rPr>
                  <w:rStyle w:val="InternetLink"/>
                  <w:sz w:val="20"/>
                </w:rPr>
                <w:t>Form of Pre-Funded Warrant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29" w:type="dxa"/>
        <w:jc w:val="left"/>
        <w:tblInd w:w="0" w:type="dxa"/>
        <w:tblLayout w:type="fixed"/>
        <w:tblCellMar>
          <w:top w:w="0" w:type="dxa"/>
          <w:left w:w="0" w:type="dxa"/>
          <w:bottom w:w="0" w:type="dxa"/>
          <w:right w:w="0" w:type="dxa"/>
        </w:tblCellMar>
      </w:tblPr>
      <w:tblGrid>
        <w:gridCol w:w="2075"/>
        <w:gridCol w:w="835"/>
        <w:gridCol w:w="2619"/>
      </w:tblGrid>
      <w:tr>
        <w:trPr/>
        <w:tc>
          <w:tcPr>
            <w:tcW w:w="20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b/>
              </w:rPr>
            </w:pPr>
            <w:r>
              <w:rPr>
                <w:b/>
              </w:rPr>
              <w:t>HUB CYBER SECURITY LTD.</w:t>
            </w:r>
          </w:p>
        </w:tc>
      </w:tr>
      <w:tr>
        <w:trPr/>
        <w:tc>
          <w:tcPr>
            <w:tcW w:w="20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Date: August 4, 2026</w:t>
            </w:r>
          </w:p>
        </w:tc>
        <w:tc>
          <w:tcPr>
            <w:tcW w:w="835" w:type="dxa"/>
            <w:tcBorders/>
            <w:vAlign w:val="center"/>
          </w:tcPr>
          <w:p>
            <w:pPr>
              <w:pStyle w:val="TableContents"/>
              <w:bidi w:val="0"/>
              <w:spacing w:before="0" w:after="283"/>
              <w:jc w:val="left"/>
              <w:rPr/>
            </w:pPr>
            <w:r>
              <w:rPr/>
              <w:t>By:</w:t>
            </w:r>
          </w:p>
        </w:tc>
        <w:tc>
          <w:tcPr>
            <w:tcW w:w="2619" w:type="dxa"/>
            <w:tcBorders>
              <w:bottom w:val="single" w:sz="12" w:space="0" w:color="000000"/>
            </w:tcBorders>
            <w:tcMar>
              <w:bottom w:w="28" w:type="dxa"/>
            </w:tcMar>
            <w:vAlign w:val="center"/>
          </w:tcPr>
          <w:p>
            <w:pPr>
              <w:pStyle w:val="TableContents"/>
              <w:bidi w:val="0"/>
              <w:spacing w:before="0" w:after="283"/>
              <w:jc w:val="left"/>
              <w:rPr/>
            </w:pPr>
            <w:r>
              <w:rPr/>
              <w:t>/s/ Limor Zur-Stoller</w:t>
            </w:r>
          </w:p>
        </w:tc>
      </w:tr>
      <w:tr>
        <w:trPr/>
        <w:tc>
          <w:tcPr>
            <w:tcW w:w="20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Name: </w:t>
            </w:r>
          </w:p>
        </w:tc>
        <w:tc>
          <w:tcPr>
            <w:tcW w:w="2619" w:type="dxa"/>
            <w:tcBorders/>
            <w:vAlign w:val="center"/>
          </w:tcPr>
          <w:p>
            <w:pPr>
              <w:pStyle w:val="TableContents"/>
              <w:bidi w:val="0"/>
              <w:spacing w:before="0" w:after="283"/>
              <w:jc w:val="left"/>
              <w:rPr/>
            </w:pPr>
            <w:r>
              <w:rPr/>
              <w:t>Limor Zur-Stoller</w:t>
            </w:r>
          </w:p>
        </w:tc>
      </w:tr>
      <w:tr>
        <w:trPr/>
        <w:tc>
          <w:tcPr>
            <w:tcW w:w="207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Title:</w:t>
            </w:r>
          </w:p>
        </w:tc>
        <w:tc>
          <w:tcPr>
            <w:tcW w:w="2619"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906201ex99-1.htm"/>
      <w:bookmarkStart w:id="3" w:name="ksea029906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“Agreement”) is made on July 20, 2026 by and among HUB Cyber Security Ltd., a company organized under the laws of the State of Israel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HUBC</w:t>
      </w:r>
      <w:r>
        <w:rPr>
          <w:rFonts w:ascii="Times New Roman;Times;Serif" w:hAnsi="Times New Roman;Times;Serif"/>
          <w:b w:val="false"/>
          <w:i w:val="false"/>
          <w:caps w:val="false"/>
          <w:smallCaps w:val="false"/>
          <w:sz w:val="20"/>
        </w:rPr>
        <w:t>”), and each of the holders of Purchase Rights (as defined below) that executes and delivers a Seller signature page to this Agreement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The Purchase Rights held by each Seller, such Seller’s Purchase Price and the number of Consideration Shares issuable to such Seller are set forth opposite such Seller’s name on Schedule A hereto. The obligations of the Sellers under this Agreement are several and not joint, and each reference in this Agreement to “Seller” means each Seller severally and solely with respect to itself and its Purchased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Seller is the holder of the purchase rights issued by Evofem Biosciences,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set forth opposite such Seller’s name on Schedule A hereto, which Purchase Rights are exercisable for shares of the Company’s common stock at an exercise price of $0.0154 per share (subject to adjustment) and the documentation for which is included and described on Appendix A hereto (with respect to each Seller, such Seller’s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Seller desires to sell to Buyer, and Buyer desires to purchase from such Seller, all of such Seller’s Purchase Rights (with respect to each Seller, such Seller’s “</w:t>
      </w:r>
      <w:r>
        <w:rPr>
          <w:rFonts w:ascii="Times New Roman;Times;Serif" w:hAnsi="Times New Roman;Times;Serif"/>
          <w:b/>
          <w:i w:val="false"/>
          <w:caps w:val="false"/>
          <w:smallCaps w:val="false"/>
          <w:sz w:val="20"/>
        </w:rPr>
        <w:t>Purchased Securities</w:t>
      </w:r>
      <w:r>
        <w:rPr>
          <w:rFonts w:ascii="Times New Roman;Times;Serif" w:hAnsi="Times New Roman;Times;Serif"/>
          <w:b w:val="false"/>
          <w:i w:val="false"/>
          <w:caps w:val="false"/>
          <w:smallCaps w:val="false"/>
          <w:sz w:val="20"/>
        </w:rPr>
        <w:t>”) on the basis of the representations, warranties and agreements contained in this Agreement, and upon the terms but subject to the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adequacy of which is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5"/>
        <w:gridCol w:w="9610"/>
      </w:tblGrid>
      <w:tr>
        <w:trPr/>
        <w:tc>
          <w:tcPr>
            <w:tcW w:w="595" w:type="dxa"/>
            <w:tcBorders/>
            <w:vAlign w:val="center"/>
          </w:tcPr>
          <w:p>
            <w:pPr>
              <w:pStyle w:val="TableContents"/>
              <w:bidi w:val="0"/>
              <w:spacing w:before="0" w:after="283"/>
              <w:jc w:val="left"/>
              <w:rPr/>
            </w:pPr>
            <w:r>
              <w:rPr/>
              <w:t>1.</w:t>
            </w:r>
          </w:p>
        </w:tc>
        <w:tc>
          <w:tcPr>
            <w:tcW w:w="9610" w:type="dxa"/>
            <w:tcBorders/>
            <w:vAlign w:val="center"/>
          </w:tcPr>
          <w:p>
            <w:pPr>
              <w:pStyle w:val="TableContents"/>
              <w:bidi w:val="0"/>
              <w:spacing w:before="0" w:after="283"/>
              <w:jc w:val="both"/>
              <w:rPr>
                <w:b/>
              </w:rPr>
            </w:pPr>
            <w:r>
              <w:rPr>
                <w:b/>
              </w:rPr>
              <w:t>Purchase of Purchased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b/>
              </w:rPr>
              <w:t>Purchase and Sale.</w:t>
            </w:r>
            <w:r>
              <w:rPr/>
              <w:t xml:space="preserve"> At the Closing, subject to the terms and conditions of this Agreement, Buyer shall purchase from each Seller, and each Seller (severally and not jointly) shall sell, assign, transfer and convey to Buyer, all of such Seller’s right, title and interest in and to such Seller’s Purchased Securities, free and clear of all Liens (other than applicable state and federal securities laws and Liens (as defined below) created by or imposed by Buyer), against payment by Buyer of such Seller’s Purchase Price. Each Seller’s “</w:t>
            </w:r>
            <w:r>
              <w:rPr>
                <w:b/>
              </w:rPr>
              <w:t>Purchase Price</w:t>
            </w:r>
            <w:r>
              <w:rPr/>
              <w:t>” with respect to each Seller is the amount set forth opposite such Seller’s name on Schedule A hereto, and equals 3.8 times the face amount of such Seller’s Purchase Rights, payable solely in ordinary shares of HUBC or pre-funded warrants exercisable for ordinary shares of HUBC (collectively, with respect to each Seller, such Seller’s “Consideration Shares”), with the number of Consideration Shares issuable to such Seller equal to such Seller’s Purchase Price divided by $1.50 per share (the “</w:t>
            </w:r>
            <w:r>
              <w:rPr>
                <w:b/>
              </w:rPr>
              <w:t>Per Share Price</w:t>
            </w:r>
            <w:r>
              <w:rPr/>
              <w:t xml:space="preserve">”), rounded down to the nearest whole Consideration Share. Whether the Consideration Shares are issued in the form of ordinary shares or pre-funded warrants (or a combination thereof) shall be determined in accordance with Section 4 (Beneficial Ownership Limitation); </w:t>
            </w:r>
            <w:r>
              <w:rPr>
                <w:i/>
              </w:rPr>
              <w:t>provided</w:t>
            </w:r>
            <w:r>
              <w:rPr/>
              <w:t>, that the aggregate number of Consideration Shares (or any pre-funded warrants and the ordinary shares issuable upon exercise thereof) issued under this Agreement and all substantially concurrent agreements with other holders of the Company’s junior notes shall not exceed 40,000,000 HUBC ordinary shares. Each Seller’s Consideration Shares shall be issued and delivered to such Seller by Deposit/Withdrawal at Custodian (“DWAC”) in accordance with the instructions set forth on such Seller’s signature page. Buyer shall be obligated to fund each Seller’s Purchase Price at the Closing.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b/>
              </w:rPr>
              <w:t>Closing.</w:t>
            </w:r>
            <w:r>
              <w:rPr/>
              <w:t xml:space="preserve"> The closing of the purchase and sale of the Purchased Securities contemplated by this Agreement (the “</w:t>
            </w:r>
            <w:r>
              <w:rPr>
                <w:b/>
              </w:rPr>
              <w:t>Closing</w:t>
            </w:r>
            <w:r>
              <w:rPr/>
              <w:t>”) shall occur on July 20, 2026 (the “</w:t>
            </w:r>
            <w:r>
              <w:rPr>
                <w:b/>
              </w:rPr>
              <w:t>Closing Date</w:t>
            </w:r>
            <w:r>
              <w:rPr/>
              <w:t>”). All actions taken at the Closing shall be deemed to have occurred simultaneously.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b/>
              </w:rPr>
              <w:t>Closing Deliveries.</w:t>
            </w:r>
            <w:r>
              <w:rPr/>
              <w:t xml:space="preserve"> On the Closing Date, (i) Seller shall deliver the Purchased Securities, together with duly executed assignment and transfer documentation, to Buyer’s broker or custodian; and (ii) upon receipt thereof, Buyer shall issue and deliver the Consideration Shares to Seller as set forth in Section 1(a).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2.</w:t>
            </w:r>
          </w:p>
        </w:tc>
        <w:tc>
          <w:tcPr>
            <w:tcW w:w="10029" w:type="dxa"/>
            <w:tcBorders/>
            <w:vAlign w:val="center"/>
          </w:tcPr>
          <w:p>
            <w:pPr>
              <w:pStyle w:val="TableContents"/>
              <w:bidi w:val="0"/>
              <w:spacing w:before="0" w:after="283"/>
              <w:jc w:val="both"/>
              <w:rPr/>
            </w:pPr>
            <w:r>
              <w:rPr>
                <w:b/>
              </w:rPr>
              <w:t>Seller Representations and Warranties.</w:t>
            </w:r>
            <w:r>
              <w:rPr/>
              <w:t xml:space="preserve"> Each Seller, severally and not jointly and solely with respect to itself and its Purchased Securities, hereby represents, warrants and covenants to Buyer as follows as of the date hereof and as of the Closing Date: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Seller has all requisite corporate power, legal capacity and authority to enter into this Agreement and to assume and perform its obligations hereunder. This Agreement has been duly authorized, executed and delivered by Seller and constitutes a valid and legally binding agreement of Seller enforceable against Seller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Seller has good and valid title to the Purchased Securities free and clear of any lien, mortgage, security interest, pledge, option, charge or encumbrance of any kind (“</w:t>
            </w:r>
            <w:r>
              <w:rPr>
                <w:b/>
              </w:rPr>
              <w:t>Liens</w:t>
            </w:r>
            <w:r>
              <w:rPr/>
              <w:t>”) (other than restrictions under applicable state and federal securities laws, and Liens created or imposed by Buyer). Delivery of the Purchased Securities to Buyer will pass to Buyer good and valid title to the Purchased Securities, free and clear of Liens other than the foregoing. Seller has paid any and all amounts and charges due and owing to the Company with respect to the Purchased Securities, and there are no unpaid amounts or charges claimed to be due to the Company from Seller with respect to the Purchased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There is no action, suit, claim, proceeding, inquiry or investigation before or by any court, public board, government agency or self-regulatory organization or body pending or, to the knowledge of Seller, threatened against or affecting Seller that could reasonably be expected to have a material adverse effect on the ability of Seller to perform its obligations hereunder.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t>Except as otherwise expressly provided in this Agreement, no consent, approval, authorization, permit or waiver of, or notice to or filing with, any person or entity (including any governmental or quasi-governmental agency, commission, board, bureau or instrumentality) is necessary or required as to Seller in connection with the execution, delivery and performance by Seller of this Agreement and the sale by Seller of the Purchased Securities, or in order to constitute this Agreement a valid, binding and enforceable obligation of Seller in accordance with its terms.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t>Except as otherwise expressly provided in this Agreement, the execution and delivery by Seller of this Agreement, the sale by Seller of the Purchased Securities and the performance by Seller of its obligations under this Agreement do not and will not (i) result in a violation of the certificate of incorporation (including, without limitation, any certificate of designation contained therein), by-laws or certificate of incorporation of Seller, (ii) conflict with, or constitute a default (or an event which with notice or lapse of time or both would become a default) in any respect under any agreement, indenture or instrument to which Seller is a party (including, without limitation, pursuant to any lock-up agreement, leak-out agreement or any other agreement with respect to the Purchased Securities to which Seller or any of its affiliates are a party), or (iii) violate or conflict with any law applicable to Seller, any order or judgment of any court or other agency of government applicable to Seller or any of Seller’s assets or any contractual restriction binding on or affecting Seller or any of Seller’s assets. None of the execution and delivery by Seller of this Agreement, the sale by Seller of the Purchased Securities and the performance by Seller of its obligations under this Agreement require Seller to obtain any consent, permit, waiver or other authorization or require Seller to provide any notice to or make any filing with any person or entity. Without limiting the generality of the foregoing, Seller hereby represents and warrants that the purchase and sale of the Purchased Securities are not restricted by any terms of any agreements between the Company and Seller.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(f)</w:t>
            </w:r>
          </w:p>
        </w:tc>
        <w:tc>
          <w:tcPr>
            <w:tcW w:w="9962" w:type="dxa"/>
            <w:tcBorders/>
            <w:vAlign w:val="center"/>
          </w:tcPr>
          <w:p>
            <w:pPr>
              <w:pStyle w:val="TableContents"/>
              <w:bidi w:val="0"/>
              <w:spacing w:before="0" w:after="283"/>
              <w:jc w:val="both"/>
              <w:rPr/>
            </w:pPr>
            <w:r>
              <w:rPr/>
              <w:t>Seller has taken no action that would give rise to any claim by any person for brokerage commissions, finder’s fees or similar payments relating to this Agreement or the transactions contemplated hereby.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(g)</w:t>
            </w:r>
          </w:p>
        </w:tc>
        <w:tc>
          <w:tcPr>
            <w:tcW w:w="9924" w:type="dxa"/>
            <w:tcBorders/>
            <w:vAlign w:val="center"/>
          </w:tcPr>
          <w:p>
            <w:pPr>
              <w:pStyle w:val="TableContents"/>
              <w:bidi w:val="0"/>
              <w:spacing w:before="0" w:after="283"/>
              <w:jc w:val="both"/>
              <w:rPr/>
            </w:pPr>
            <w:r>
              <w:rPr/>
              <w:t>Seller is not selling the Purchased Securities “on the basis of” (as defined in Rule 10b5-1 of the Securities Exchange Act of 1934, as amended (the “Exchange Act”)) any material, non-public information about the Purchased Securities or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(h)</w:t>
            </w:r>
          </w:p>
        </w:tc>
        <w:tc>
          <w:tcPr>
            <w:tcW w:w="9909" w:type="dxa"/>
            <w:tcBorders/>
            <w:vAlign w:val="center"/>
          </w:tcPr>
          <w:p>
            <w:pPr>
              <w:pStyle w:val="TableContents"/>
              <w:bidi w:val="0"/>
              <w:spacing w:before="0" w:after="283"/>
              <w:jc w:val="both"/>
              <w:rPr/>
            </w:pPr>
            <w:r>
              <w:rPr/>
              <w:t>Seller is not an “affiliate” (as defined in Rule 144) of Buyer or a holder of “control” (as defined in Israeli Companies Law, 5759-1999)(the “Companies Law”) of Buyer.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3.</w:t>
            </w:r>
          </w:p>
        </w:tc>
        <w:tc>
          <w:tcPr>
            <w:tcW w:w="10001" w:type="dxa"/>
            <w:tcBorders/>
            <w:vAlign w:val="center"/>
          </w:tcPr>
          <w:p>
            <w:pPr>
              <w:pStyle w:val="TableContents"/>
              <w:bidi w:val="0"/>
              <w:spacing w:before="0" w:after="283"/>
              <w:jc w:val="both"/>
              <w:rPr/>
            </w:pPr>
            <w:r>
              <w:rPr>
                <w:b/>
              </w:rPr>
              <w:t>Buyer Representations and Warranties.</w:t>
            </w:r>
            <w:r>
              <w:rPr/>
              <w:t xml:space="preserve"> Buyer hereby represents and warrants to Seller as follows as of the date 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Buyer is a company duly organized and validly existing under the laws of the State of Israel, with full corporate power and authority to enter into and perform this Agreement and to issue the Consideration Shares. This Agreement has been duly authorized, executed and delivered by Buyer and constitutes a valid and binding obligation of Buyer enforceable against it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Buyer has adequate information concerning the business and financial condition of the Company to make an informed decision regarding the purchase of the Purchased Securities and has, independently and without reliance upon Seller or any of Seller’s affiliates, employees or agents, and based on such information as Buyer has deemed appropriate, made its own analysis and decision to enter into this Agreement, except that Buyer has relied upon Seller’s express representations, warranties and covenants in this Agreement. Buyer acknowledges that neither Seller nor any of Seller’s affiliates, employees or agents has given Buyer any investment advice, credit information or opinion on whether the purchase of the Purchased Securities is prudent, and that neither Seller nor any of its affiliates, employees or agents is acting as a fiduciary for or an advisor to Buyer in respect of this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Buyer understands that the Purchased Securities are being offered and sold to it in reliance on the representations and warranties contained in this Section 3 and pursuant to a specific exemption from the registration requirements of United States federal and state securities laws.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Buyer is an “accredited investor” as defined in Rule 501(a) under the Securities Act of 1933, as amended (the “Securities Act”), and is acquiring the Purchased Securities in a privately negotiated transaction exempt from the registration requirements of the Securities Act (Section 4(a)(2) and/or Regulation D), for its own account and for investment, and not with a view to, or for resale in connection with, any distribution thereof in violation of the Securities Act. Buyer has such knowledge and experience in financial and business matters that it is capable of evaluating the merits and risks of acquiring the Purchased Securities, has had access to such information regarding the Company and the Purchased Securities as it has requested, and is able to bear the economic risk of, and an entire loss of, its investment. Buyer understands that the Purchased Securities are “restricted securities,” have not been registered under the Securities Act or any state securities laws, and may not be resold except pursuant to an effective registration statement or an available exemption from registration (including Rule 144).</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932" w:type="dxa"/>
            <w:tcBorders/>
            <w:vAlign w:val="center"/>
          </w:tcPr>
          <w:p>
            <w:pPr>
              <w:pStyle w:val="TableContents"/>
              <w:bidi w:val="0"/>
              <w:spacing w:before="0" w:after="283"/>
              <w:jc w:val="both"/>
              <w:rPr/>
            </w:pPr>
            <w:r>
              <w:rPr/>
              <w:t>Buyer is not purchasing the Purchased Securities “on the basis of” (as defined in Rule 10b5-1 of the Exchange Act) any material, non-public information about the Purchased Securities or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(f)</w:t>
            </w:r>
          </w:p>
        </w:tc>
        <w:tc>
          <w:tcPr>
            <w:tcW w:w="9992" w:type="dxa"/>
            <w:tcBorders/>
            <w:vAlign w:val="center"/>
          </w:tcPr>
          <w:p>
            <w:pPr>
              <w:pStyle w:val="TableContents"/>
              <w:bidi w:val="0"/>
              <w:spacing w:before="0" w:after="283"/>
              <w:jc w:val="both"/>
              <w:rPr/>
            </w:pPr>
            <w:r>
              <w:rPr/>
              <w:t>The Consideration Shares are either (i) ordinary shares, no par value, of Buyer or (ii) pre-funded warrants to purchase ordinary shares of Buyer., in each case as determined pursuant to Section 4 (Beneficial Ownership Limitation). The Consideration Shares and/and, if applicable, the ordinary shares underlying the pre-funded warrants constituting Consideration Shares, have been duly authorized and, when issued and delivered against the Purchased Securities in accordance with this Agreement, will be validly issued, fully paid and non-assessable (or the equivalent under the Companies Law, free and clear of Liens other than restrictions on transfer arising under applicable securities laws (including restricted-security legends and Rule 144 resale conditions) and any lock-up agreed in writing. The Consideration Shares will be issued in reliance on exemptions from registration under the Securities Act (Section 4(a)(2) and/or Regulation D) and will be “restricted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b/>
              </w:rPr>
            </w:pPr>
            <w:r>
              <w:rPr>
                <w:b/>
              </w:rPr>
              <w:t>4.</w:t>
            </w:r>
          </w:p>
        </w:tc>
        <w:tc>
          <w:tcPr>
            <w:tcW w:w="10049" w:type="dxa"/>
            <w:tcBorders/>
            <w:vAlign w:val="center"/>
          </w:tcPr>
          <w:p>
            <w:pPr>
              <w:pStyle w:val="TableContents"/>
              <w:bidi w:val="0"/>
              <w:spacing w:before="0" w:after="283"/>
              <w:jc w:val="both"/>
              <w:rPr/>
            </w:pPr>
            <w:r>
              <w:rPr>
                <w:b/>
              </w:rPr>
              <w:t xml:space="preserve">Beneficial Ownership Limitation. </w:t>
            </w:r>
            <w:r>
              <w:rPr/>
              <w:t>Notwithstanding anything to the contrary contained herein, the number of ordinary shares of Buyer issuable to Seller upon this Agreement or upon exercise of any pre-funded warrants issued hereunder shall be limited to the extent necessary so that, after giving effect thereto, the aggregate number of ordinary shares of Buyer beneficially owned by Seller and its Affiliates (as defined in Rule 13d-3 of the Exchange Act) or “held” (as defined for purposes of the Companies Law) does not exceed 4.99% of the number of ordinary shares of Buyer outstanding immediately after giving effect to such issuance (the “Beneficial Ownership Limitation”). For purposes of this Section 4, beneficial ownership shall be calculated in accordance with Section 13(d) of the Exchange Act and the rules and regulations promulgated thereunder, and holdings shall be calculated in accordance with the Companies Law, as applicable (with the higher result governing any determination hereunder). To the extent that the Beneficial Ownership Limitation would be exceeded on the Closing Date by the issuance of Consideration Shares, the portion of the Consideration Shares that would otherwise cause Seller to exceed the Beneficial Ownership Limitation shall be issued in the form of pre-funded warrants exercisable for ordinary shares of Buyer (with an exercise price of $0.001 per share), which pre-funded warrants shall not be exercisable to the extent that such exercise would cause Seller and its Affiliates to exceed the Beneficial Ownership Limitation. For the avoidance of doubt, if the Beneficial Ownership Limitation is exceeded prior to the Closing, then all the Consideration Shares issuable to Seller hereunder shall be issued in the form of pre-funded warrants described above. The provisions of this Section 4 shall be construed, corrected and implemented in a manner consistent with the intent of the parties to limit the beneficial ownership of Buyer’s ordinary shares by Seller to the Beneficial Ownership Limitation, and neither this Section 4 nor any portion hereof shall be interpreted otherwise.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b/>
              </w:rPr>
            </w:pPr>
            <w:r>
              <w:rPr>
                <w:b/>
              </w:rPr>
              <w:t>5.</w:t>
            </w:r>
          </w:p>
        </w:tc>
        <w:tc>
          <w:tcPr>
            <w:tcW w:w="10046" w:type="dxa"/>
            <w:tcBorders/>
            <w:vAlign w:val="center"/>
          </w:tcPr>
          <w:p>
            <w:pPr>
              <w:pStyle w:val="TableContents"/>
              <w:bidi w:val="0"/>
              <w:spacing w:before="0" w:after="283"/>
              <w:jc w:val="both"/>
              <w:rPr/>
            </w:pPr>
            <w:r>
              <w:rPr>
                <w:b/>
              </w:rPr>
              <w:t>Shareholder Approval.</w:t>
            </w:r>
            <w:r>
              <w:rPr/>
              <w:t xml:space="preserve"> As soon as reasonably practicable following the Closing, Buyer shall call, and shall use its reasonable best efforts to convene and hold, a meeting of its shareholders (and to solicit and obtain the approval of its shareholders) for the purpose of approving (i) the full exercise of the pre-funded warrants issued pursuant to this Agreement (in the form attached hereto as Appendix B, the “Pre-Funded Warrants”) and the issuance of all ordinary shares of Buyer issuable upon the exercise thereof, and (ii) an increase in Buyer’s authorized share capital in an amount sufficient to permit such issuance in full (collectively, the “Shareholder Approval”). Upon the receipt of the Shareholder Approval, the 4.99% beneficial-ownership limitation applicable to the Pre-Funded Warrants shall automatically be lifted and shall cease to apply, and the Pre-Funded Warrants shall thereafter be exercisable in full without regard to such limitation, in accordance with their terms.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pPr>
            <w:r>
              <w:rPr>
                <w:b/>
              </w:rPr>
              <w:t>Payment of Expenses.</w:t>
            </w:r>
            <w:r>
              <w:rPr/>
              <w:t xml:space="preserve"> Each party hereto shall be liable for its own costs and expenses in connection with the transactions contemplated hereby.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b/>
              </w:rPr>
              <w:t>Notices.</w:t>
            </w:r>
            <w:r>
              <w:rPr/>
              <w:t xml:space="preserve"> All communications hereunder shall be emailed and confirmed to the parties hereto as follows: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Buyer: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Hacharoshet Street</w:t>
        <w:br/>
        <w:t>Or Yehuda, Israel</w:t>
        <w:br/>
        <w:t>Attention: Tuvia Grossman, Chief Legal Officer</w:t>
        <w:br/>
        <w:t>Email: tuvia.grossman@hub-technologies.com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Honigman LLP</w:t>
        <w:br/>
        <w:t>660 Woodward Avenue, Suite 2290</w:t>
        <w:br/>
        <w:t>Detroit, Michigan 48226</w:t>
        <w:br/>
        <w:t>Attention: Michael J. Rosenberg</w:t>
        <w:br/>
        <w:t>Email: MRosenberg@honigman.com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Goldfarb Gross Seligman &amp; Co.</w:t>
        <w:br/>
        <w:t>98 Yigal Alon Street</w:t>
        <w:br/>
        <w:t>Tel Aviv 6789141, Israel</w:t>
        <w:br/>
        <w:t>Attention: Adam Klein</w:t>
        <w:br/>
        <w:t>Email: adam.klein@goldfarb.com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to Seller: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each Seller, at the email address and other contact information set forth on such Seller’s signature page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email address for receipt of communications by giving email notice to the other party.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8.</w:t>
            </w:r>
          </w:p>
        </w:tc>
        <w:tc>
          <w:tcPr>
            <w:tcW w:w="10048" w:type="dxa"/>
            <w:tcBorders/>
            <w:vAlign w:val="center"/>
          </w:tcPr>
          <w:p>
            <w:pPr>
              <w:pStyle w:val="TableContents"/>
              <w:bidi w:val="0"/>
              <w:spacing w:before="0" w:after="283"/>
              <w:jc w:val="both"/>
              <w:rPr/>
            </w:pPr>
            <w:r>
              <w:rPr>
                <w:b/>
              </w:rPr>
              <w:t>Governing Law; Submission to Jurisdiction.</w:t>
            </w:r>
            <w:r>
              <w:rPr/>
              <w:t xml:space="preserve"> THIS AGREEMENT SHALL BE GOVERNED BY AND CONSTRUED IN ACCORDANCE WITH THE LAWS OF THE STATE OF NEW YORK, WITHOUT REGARD TO CONFLICT OF LAW PRINCIPLES. EACH PARTY AGREES THAT ANY ACTION OR PROCEEDING ARISING OUT OF OR RELATING IN ANY WAY TO THIS AGREEMENT SHALL BE BROUGHT IN A U.S. FEDERAL OR STATE COURT OF COMPETENT JURISDICTION SITTING IN THE COUNTY, CITY, AND STATE OF NEW YORK. EACH PARTY HEREBY IRREVOCABLY AND UNCONDITIONALLY CONSENTS TO THE JURISDICTION OF SUCH COURT AND HEREBY IRREVOCABLY AND UNCONDITIONALLY WAIVES ANY DEFENSE OF AN INCONVENIENT FORUM OR A LACK OF PERSONAL JURISDICTION TO THE MAINTENANCE OF ANY ACTION OR PROCEEDING AND ANY RIGHT OF JURISDICTION OR VENUE ON ACCOUNT OF THE PLACE OF RESIDENCE OR DOMICILE OF ANY PARTY HERETO. EACH PARTY HEREBY IRREVOCABLY WAIVES ANY RIGHT IT MAY HAVE, AND AGREES NOT TO REQUEST, A JURY TRIAL FOR THE ADJUDICATION OF ANY DISPUTE HEREUNDER OR IN CONNECTION WITH OR ARISING OUT OF THIS AGREEMENT OR ANY TRANSACTION CONTEMPLATED HEREBY.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9.</w:t>
            </w:r>
          </w:p>
        </w:tc>
        <w:tc>
          <w:tcPr>
            <w:tcW w:w="10042" w:type="dxa"/>
            <w:tcBorders/>
            <w:vAlign w:val="center"/>
          </w:tcPr>
          <w:p>
            <w:pPr>
              <w:pStyle w:val="TableContents"/>
              <w:bidi w:val="0"/>
              <w:spacing w:before="0" w:after="283"/>
              <w:jc w:val="both"/>
              <w:rPr/>
            </w:pPr>
            <w:r>
              <w:rPr>
                <w:b/>
              </w:rPr>
              <w:t>Entire Agreement; Amendments.</w:t>
            </w:r>
            <w:r>
              <w:rPr/>
              <w:t xml:space="preserve"> This Agreement supersedes all other prior oral or written agreements among Buyer, Seller, their affiliates and persons acting on their behalf with respect to the matters discussed herein, and contains the entire understanding of the parties with respect to such matters; except as specifically set forth herein, neither Seller nor Buyer makes any representation, warranty, covenant or undertaking with respect to such matters. No provision hereof may be amended or waived other than by an instrument in writing signed by the party against whom enforcement is sought.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10.</w:t>
            </w:r>
          </w:p>
        </w:tc>
        <w:tc>
          <w:tcPr>
            <w:tcW w:w="9914" w:type="dxa"/>
            <w:tcBorders/>
            <w:vAlign w:val="center"/>
          </w:tcPr>
          <w:p>
            <w:pPr>
              <w:pStyle w:val="TableContents"/>
              <w:bidi w:val="0"/>
              <w:spacing w:before="0" w:after="283"/>
              <w:jc w:val="both"/>
              <w:rPr/>
            </w:pPr>
            <w:r>
              <w:rPr>
                <w:b/>
              </w:rPr>
              <w:t xml:space="preserve">Severability. </w:t>
            </w:r>
            <w:r>
              <w:rPr/>
              <w:t>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b/>
              </w:rPr>
              <w:t>No Third Party Beneficiaries.</w:t>
            </w:r>
            <w:r>
              <w:rPr/>
              <w:t xml:space="preserve"> This Agreement is intended for the benefit of the parties hereto and their respective permitted successors and assigns, and is not for the benefit of, nor may any provision hereof be enforced by, any other person.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12.</w:t>
            </w:r>
          </w:p>
        </w:tc>
        <w:tc>
          <w:tcPr>
            <w:tcW w:w="9919" w:type="dxa"/>
            <w:tcBorders/>
            <w:vAlign w:val="center"/>
          </w:tcPr>
          <w:p>
            <w:pPr>
              <w:pStyle w:val="TableContents"/>
              <w:bidi w:val="0"/>
              <w:spacing w:before="0" w:after="283"/>
              <w:jc w:val="both"/>
              <w:rPr/>
            </w:pPr>
            <w:r>
              <w:rPr>
                <w:b/>
              </w:rPr>
              <w:t>Further Assurances.</w:t>
            </w:r>
            <w:r>
              <w:rPr/>
              <w:t xml:space="preserve"> Each party shall use its commercially reasonable efforts to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13.</w:t>
            </w:r>
          </w:p>
        </w:tc>
        <w:tc>
          <w:tcPr>
            <w:tcW w:w="9885" w:type="dxa"/>
            <w:tcBorders/>
            <w:vAlign w:val="center"/>
          </w:tcPr>
          <w:p>
            <w:pPr>
              <w:pStyle w:val="TableContents"/>
              <w:bidi w:val="0"/>
              <w:spacing w:before="0" w:after="283"/>
              <w:jc w:val="both"/>
              <w:rPr/>
            </w:pPr>
            <w:r>
              <w:rPr>
                <w:b/>
              </w:rPr>
              <w:t>Successors.</w:t>
            </w:r>
            <w:r>
              <w:rPr/>
              <w:t xml:space="preserve"> This Agreement shall be binding upon and inure to the benefit of the parties and their respective successors and assigns.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HUB Cyber Security Ltd.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25"/>
        <w:gridCol w:w="60"/>
        <w:gridCol w:w="75"/>
      </w:tblGrid>
      <w:tr>
        <w:trPr/>
        <w:tc>
          <w:tcPr>
            <w:tcW w:w="72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SIGNATURE PAGE TO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signature page, the undersigned (i) agrees to become a party to, and to be bound by, that certain Securities Purchase Agreement, dated as of July 20, 2026, by and among HUB Cyber Security Ltd. and the Seller party thereto (the “Agreement”), as a “Seller” thereunder; (ii) adopts and agrees to be bound by Schedule A to the Agreement, including the Purchase Rights, Purchase Price and Consideration Shares set forth opposite its name therein; and (iii) makes, as of the date hereof and as of the Closing Date, the representations, warranties and covenants of a Seller set forth in the Agreement, severally and not jointly and solely with respect to itself and its Purchased Securities; and (iv) represents and warrants that the number of ordinary shares of HUB Cyber Security Ltd. beneficially owned or held, directly or indirectly, by the undersigned, together with its affiliates and any other persons acting in concert with the undersigned (within the meaning of Section 13(d) of the Exchange Act and the Israeli Companies Law, 1999), as of the date hereof is the number set forth below, undertakes to notify Buyer in writing promptly (and in any event prior to the Closing) of any change in such number, and covenants that it shall not increase such holdings prior to the Closing without Buyer’s prior written consent. Capitalized terms used but not otherwise defined herein have the meanings given them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p>
      <w:pPr>
        <w:pStyle w:val="TextBody"/>
        <w:bidi w:val="0"/>
        <w:spacing w:before="0" w:after="0"/>
        <w:ind w:left="0" w:right="0" w:hanging="0"/>
        <w:jc w:val="left"/>
        <w:rPr>
          <w:smallCaps/>
        </w:rPr>
      </w:pPr>
      <w:r>
        <w:rPr>
          <w:smallCaps/>
        </w:rPr>
        <w:t> </w:t>
      </w:r>
    </w:p>
    <w:p>
      <w:pPr>
        <w:pStyle w:val="TextBody"/>
        <w:bidi w:val="0"/>
        <w:spacing w:before="0" w:after="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                           ]</w:t>
      </w:r>
    </w:p>
    <w:p>
      <w:pPr>
        <w:pStyle w:val="TextBody"/>
        <w:bidi w:val="0"/>
        <w:spacing w:before="0" w:after="0"/>
        <w:ind w:left="0" w:right="0" w:hanging="0"/>
        <w:jc w:val="left"/>
        <w:rPr>
          <w:smallCaps/>
        </w:rPr>
      </w:pPr>
      <w:r>
        <w:rPr>
          <w:smallCaps/>
        </w:rPr>
        <w:t> </w:t>
      </w:r>
    </w:p>
    <w:tbl>
      <w:tblPr>
        <w:tblW w:w="860" w:type="dxa"/>
        <w:jc w:val="left"/>
        <w:tblInd w:w="0" w:type="dxa"/>
        <w:tblLayout w:type="fixed"/>
        <w:tblCellMar>
          <w:top w:w="0" w:type="dxa"/>
          <w:left w:w="0" w:type="dxa"/>
          <w:bottom w:w="0" w:type="dxa"/>
          <w:right w:w="0" w:type="dxa"/>
        </w:tblCellMar>
      </w:tblPr>
      <w:tblGrid>
        <w:gridCol w:w="725"/>
        <w:gridCol w:w="60"/>
        <w:gridCol w:w="75"/>
      </w:tblGrid>
      <w:tr>
        <w:trPr/>
        <w:tc>
          <w:tcPr>
            <w:tcW w:w="72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for notices: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HUB Cyber Security Ltd. held, directly or indirectly, by the Seller and its affiliates and persons acting in concert, as of the date hereof: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DWAC instructions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EVFM Purchase Rights; Purchase Price; HUBC Ordinary Shares and Pre-Funded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 are true, correct and complete copies of the following (collectively, the “Purchase Rights Documents”): (i) each instrument evidencing the Purchase Rights; (ii) the securities purchase agreement and related documents pursuant to which the Purchase Rights were issued, in each case as amended, restated, supplemented or otherwise modified through the date hereof; and (iii) records evidencing Seller’s ownership of the $4,000,000 face amount of Purchase Rights constituting the Purchased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FROM REPUTABLE COUNSEL,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HUB Cyber Security Ltd.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________,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____________________, the registered holder hereof or his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upon exercise of this Warrant to Purchase Ordinary Shares (including any Warrants to Purchase Ordinary Shares issued in exchange, transfer or replacement hereof,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or times on or after the Issuance Date, ___________ (subject to adjustment as provided herein), fully paid and non-assessable Ordinary Shares (as defined below)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4"/>
        <w:gridCol w:w="9511"/>
      </w:tblGrid>
      <w:tr>
        <w:trPr/>
        <w:tc>
          <w:tcPr>
            <w:tcW w:w="694" w:type="dxa"/>
            <w:tcBorders/>
            <w:vAlign w:val="center"/>
          </w:tcPr>
          <w:p>
            <w:pPr>
              <w:pStyle w:val="TableContents"/>
              <w:bidi w:val="0"/>
              <w:spacing w:before="0" w:after="283"/>
              <w:jc w:val="left"/>
              <w:rPr>
                <w:b/>
              </w:rPr>
            </w:pPr>
            <w:r>
              <w:rPr>
                <w:b/>
              </w:rPr>
              <w:t>1.</w:t>
            </w:r>
          </w:p>
        </w:tc>
        <w:tc>
          <w:tcPr>
            <w:tcW w:w="9511" w:type="dxa"/>
            <w:tcBorders/>
            <w:vAlign w:val="center"/>
          </w:tcPr>
          <w:p>
            <w:pPr>
              <w:pStyle w:val="TableContents"/>
              <w:bidi w:val="0"/>
              <w:spacing w:before="0" w:after="283"/>
              <w:jc w:val="both"/>
              <w:rPr/>
            </w:pPr>
            <w:r>
              <w:rPr>
                <w:u w:val="single"/>
              </w:rPr>
              <w:t>EXERCISE OF WARRANT</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283"/>
              <w:jc w:val="both"/>
              <w:rPr/>
            </w:pPr>
            <w:r>
              <w:rPr>
                <w:u w:val="single"/>
              </w:rPr>
              <w:t>Mechanics of Exercise</w:t>
            </w:r>
            <w:r>
              <w:rPr/>
              <w:t xml:space="preserve">. Subject to the terms and conditions hereof (including, without limitation, the limitations set forth in Section ‎1‎(c)), this Warrant may be exercised by the Holder on any day on or after the Issuance Date in whole or in part, by delivery (whether via facsimile or otherwise) of a written notice, in the form attached hereto as </w:t>
            </w:r>
            <w:r>
              <w:rPr>
                <w:b/>
                <w:u w:val="single"/>
              </w:rPr>
              <w:t>Exhibit A</w:t>
            </w:r>
            <w:r>
              <w:rPr/>
              <w:t xml:space="preserve"> (the “</w:t>
            </w:r>
            <w:r>
              <w:rPr>
                <w:b/>
              </w:rPr>
              <w:t>Exercise Notice</w:t>
            </w:r>
            <w:r>
              <w:rPr/>
              <w:t>”), of the Holder’s election to exercise this Warrant.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second (2</w:t>
            </w:r>
            <w:r>
              <w:rPr>
                <w:position w:val="8"/>
                <w:sz w:val="19"/>
              </w:rPr>
              <w:t>nd</w:t>
            </w:r>
            <w:r>
              <w:rPr/>
              <w:t>) Trading Day following the date on which the Company has received such Exercise Notice, the Company shall instruct its transfer agent (the “</w:t>
            </w:r>
            <w:r>
              <w:rPr>
                <w:b/>
              </w:rPr>
              <w:t>Transfer Agent</w:t>
            </w:r>
            <w:r>
              <w:rPr/>
              <w:t>”), (i) </w:t>
            </w:r>
            <w:r>
              <w:rPr>
                <w:i/>
                <w:u w:val="single"/>
              </w:rPr>
              <w:t>provided</w:t>
            </w:r>
            <w:r>
              <w:rPr/>
              <w:t> that the Transfer Agent is participating in The Depository Trust Company (“</w:t>
            </w:r>
            <w:r>
              <w:rPr>
                <w:b/>
              </w:rPr>
              <w:t>DTC</w:t>
            </w:r>
            <w:r>
              <w:rPr/>
              <w:t>”) Fast Automated Securities Transfer Program (which the Company shall cause the Transfer Agent to do at Holder’s request) and provided the legends would be eligible to be removed from such Ordinary Shares in the discretion of the Company, upon the request of the Holder, to credit such aggregate number of Ordinary Shares to which the Holder is entitled pursuant to such exercise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in the discretion of the Company, to issue and deliver to the Holder or, at the Holder’s instruction pursuant to the Exercise Notice, the Holder’s agent or designee, in each case, sent to the address as specified in the applicable Exercise Notice, a certificate or book entry position, in the name of the Holder or its designee (as indicated in the applicable Exercise Notice), for the number of Ordinary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book entry positions evidencing such Warrant Shares (as the case may be). If the number of Warrant Shares represented by this Warrant submitted for exercise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 and deliver to the Holder (or its designee) a new Warrant (in accordance with Section ‎5(d))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up to the nearest whole number. The Company shall pay any and all taxes and fees which may be payable with respect to the issuance and delivery of Warrant Shares upon exercise of this Warrant.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u w:val="single"/>
              </w:rPr>
              <w:t>Exercise Price; Pre-Funding</w:t>
            </w:r>
            <w:r>
              <w:rPr/>
              <w:t>. The exercise price per Warrant Share is $0.001 (the “Exercise Price”), subject to adjustment as provided herein. This Warrant is pre-funded, such that the consideration for the Warrant Shares (other than the nominal Exercise Price) was paid in full on the Issuance Date, and this Warrant may be exercised by the Holder, in whole or in part from time to time, subject to the Maximum Percentage. The aggregate Exercise Price for the Warrant Shares being exercised shall be payable, at the Holder’s election, (i) in cash by wire transfer of immediately available funds, or (ii) by means of a cashless exercise, in which event the Holder shall be entitled to receive a number of Ordinary Shares equal to the product of (X) the number of Warrant Shares as to which this Warrant is being exercised multiplied by (Y) a fraction, the numerator of which is the Fair Market Value of one Ordinary Share on the date of the applicable Exercise Notice minus the Exercise Price, and the denominator of which is such Fair Market Value, such that no cash payment of the Exercise Price shall be required. For purposes hereof, “Fair Market Value” means the closing price of the Ordinary Shares on the Principal Market on the Trading Day immediately preceding the date of the applicable Exercise Notice.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both"/>
              <w:rPr/>
            </w:pPr>
            <w:r>
              <w:rPr>
                <w:u w:val="single"/>
              </w:rPr>
              <w:t>Limitations on Exercises and Exchanges</w:t>
            </w:r>
            <w:r>
              <w:rPr/>
              <w:t>. Notwithstanding anything to the contrary contained in this Warrant, this Warrant shall not be exercisable or exchangeable by the Holder hereof to the extent (but only to the extent) that the Holder would hold (as defined for purposes of the Israeli Companies Law, 1999) or beneficially own (as defined for purposes of Section 13(d) of the 1934 Act) in excess of 4.99% of the number of Ordinary Shares outstanding after giving effect to the issuance of Ordinary Shares issuable upon exercise of the Warrant (the “</w:t>
            </w:r>
            <w:r>
              <w:rPr>
                <w:b/>
              </w:rPr>
              <w:t>Maximum Percentage</w:t>
            </w:r>
            <w:r>
              <w:rPr/>
              <w:t>”).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share holdings and all determinations and calculations (including, without limitation, with respect to calculations of percentage of holdings) shall be determined in accordance with the Israeli Companies Law, 1999 and with the U.S. Securities and Exchange Act of 1934, as amended, and the rules and regulations promulgated thereunder; in the event of a conflict between such two laws, the stricter one shall govern. The provisions of this paragraph shall be implemented in a manner otherwise than in strict conformity with the terms of this paragraph to correct this paragraph (or any portion hereof) which may be defective or inconsistent with the intended Maximum Percentage limitation herein contained or to make changes or supplements necessary or desirable to properly give effect to such Maximum Percentage limitation. The limitations contained in this paragraph shall apply to a successor Holder of this Warrant. For any reason at any time, upon the written or oral request of the Holder, the Company shall within two (2) Business Days confirm in writing to the Holder the number of Ordinary Shares then outstanding, including by virtue of any prior conversion or exercise or exchange of convertible or exercisable or exchangeable securities into Ordinary Shares. The Maximum Percentage limitation shall not apply to the Holder if the Warrant is exercised and the Ordinary Shares are issued concurrently with the sale or cancelation of such Ordinary Shares upon the closing of an Exit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u w:val="single"/>
              </w:rPr>
              <w:t>Reservation of Shares; Insufficient Authorized Shares</w:t>
            </w:r>
            <w:r>
              <w:rPr/>
              <w:t>. The Company shall initially reserve out of its authorized and unissued Ordinary Shares a number of Ordinary Shares equal to the maximum number of Warrant Shares issuable to satisfy the Company's obligations to issue Ordinary Shares hereunder, and the Company shall at all times keep reserved for issuance under this Warrant a number of Ordinary Shares equal to the maximum number of Warrant Shares issuable to satisfy the Company’s obligation to issue Ordinary Shares hereunder.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u w:val="single"/>
              </w:rPr>
              <w:t>Activity Restriction</w:t>
            </w:r>
            <w:r>
              <w:rPr/>
              <w:t>. For so long as the Holder holds this Warrant or any Warrant Shares, the Holder will not acquire additional securities of the Company, alone or together with any other Person, which, following the acquisition thereof, would result in holding, directly or indirectly, more than the Maximum Percentage, and any Ordinary Shares held by the Holder in excess thereof shall be dormant shares. For the avoidance of any doubt, the Holder may vote any Ordinary Shares held or controlled by it up to the Maximum Percentage, solicit any proxies, or seek to advise or influence any Person with respect to any voting securities of the Company, in its sole discretion.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u w:val="single"/>
              </w:rPr>
              <w:t>No Short Sales</w:t>
            </w:r>
            <w:r>
              <w:rPr/>
              <w:t>. The Holder covenants that through and including the first Trading Day following the full exercise or termination of this Warrant, none of the Holder or any of its officers, or any entity managed or controlled by the Holder (each of the foregoing, a “</w:t>
            </w:r>
            <w:r>
              <w:rPr>
                <w:b/>
              </w:rPr>
              <w:t>Restricted Person</w:t>
            </w:r>
            <w:r>
              <w:rPr/>
              <w:t>”) shall, directly or indirectly, (i) engage in any “short sale” (as such term is defined in Rule 200 of Regulation SHO of the 1934 Act) 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u w:val="single"/>
              </w:rPr>
              <w:t>Shareholder Approval</w:t>
            </w:r>
            <w:r>
              <w:rPr/>
              <w:t>. The Company shall call, and shall use its reasonable best efforts to convene and hold, a meeting of its shareholders as soon as reasonably practicable to approve the full exercise of this Warrant and the issuance of all Warrant Shares, together with an increase in the Company’s authorized share capital sufficient to permit such issuance in full (the “Shareholder Approval”). Notwithstanding anything to the contrary in this Warrant, upon the receipt of the Shareholder Approval, the Maximum Percentage limitation set forth in Section 1(c) shall automatically terminate and cease to apply, and this Warrant shall thereafter be exercisable in full without regard to the Maximum Percentage.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b/>
              </w:rPr>
            </w:pPr>
            <w:r>
              <w:rPr>
                <w:b/>
              </w:rPr>
              <w:t>2.</w:t>
            </w:r>
          </w:p>
        </w:tc>
        <w:tc>
          <w:tcPr>
            <w:tcW w:w="10029" w:type="dxa"/>
            <w:tcBorders/>
            <w:vAlign w:val="center"/>
          </w:tcPr>
          <w:p>
            <w:pPr>
              <w:pStyle w:val="TableContents"/>
              <w:bidi w:val="0"/>
              <w:spacing w:before="0" w:after="283"/>
              <w:jc w:val="both"/>
              <w:rPr/>
            </w:pPr>
            <w:r>
              <w:rPr>
                <w:u w:val="single"/>
              </w:rPr>
              <w:t>ADJUSTMENT TO NUMBER OF WARRANT SHARES</w:t>
            </w:r>
            <w:r>
              <w:rPr/>
              <w:t>. During such time as this Warrant is outstanding, the number of Warrant Shares issuable upon exercise of this Warrant is subject to adjustment from time to time as set forth in this Section ‎2.</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u w:val="single"/>
              </w:rPr>
              <w:t>Stock Dividends and Splits</w:t>
            </w:r>
            <w:r>
              <w:rPr/>
              <w:t>. If the Company, at any time on or after the Issuance Date of this Warrant, (i) distributes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number of Warrant Shares that may be issued upon exercise of this Warrant shall be increased or decreased proportionately, as the case may be. Any of the adjustment set forth above shall become effective immediately after the effective date of the applicable event.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u w:val="single"/>
              </w:rPr>
              <w:t>Calculations</w:t>
            </w:r>
            <w:r>
              <w:rPr/>
              <w:t>. All calculations under this Section ‎2 shall be made by rounding to the nearest 1/100</w:t>
            </w:r>
            <w:r>
              <w:rPr>
                <w:position w:val="8"/>
                <w:sz w:val="19"/>
              </w:rPr>
              <w:t>th</w:t>
            </w:r>
            <w:r>
              <w:rPr/>
              <w:t xml:space="preserve"> of a share. The number of Ordinary Shares outstanding at any given time shall not include shares owned or held by or for the account of the Company, and the disposition of any such shares shall be considered an issue or sale of Ordinary Shares.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b/>
              </w:rPr>
            </w:pPr>
            <w:r>
              <w:rPr>
                <w:b/>
              </w:rPr>
              <w:t>3.</w:t>
            </w:r>
          </w:p>
        </w:tc>
        <w:tc>
          <w:tcPr>
            <w:tcW w:w="10048" w:type="dxa"/>
            <w:tcBorders/>
            <w:vAlign w:val="center"/>
          </w:tcPr>
          <w:p>
            <w:pPr>
              <w:pStyle w:val="TableContents"/>
              <w:bidi w:val="0"/>
              <w:spacing w:before="0" w:after="283"/>
              <w:jc w:val="both"/>
              <w:rPr/>
            </w:pPr>
            <w:r>
              <w:rPr>
                <w:u w:val="single"/>
              </w:rPr>
              <w:t>NONCIRCUMVENTION</w:t>
            </w:r>
            <w:r>
              <w:rPr/>
              <w:t>. During such time as this Warrant is outstanding,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take all such actions as may be necessary or appropriate in order that the Company may validly and legally issue fully paid and non-assessable Ordinary Shares upon the exercise of this Warrant, and (ii) shall, so long as the Warrant is outstanding, take all actions necessary to reserve and keep available out of its authorized and unissued Ordinary Shares, solely for the purpose of effecting the exercise of the Warrant, the maximum number of Ordinary Shares as shall from time to time be necessary to effect the exercise of the Warrant then outstanding; provided, however, that such amount of reserved Ordinary Shares shall be limited by the Maximum Percentage of Ordinary Shares as set forth in Section ‎1(c).</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b/>
              </w:rPr>
            </w:pPr>
            <w:r>
              <w:rPr>
                <w:b/>
              </w:rPr>
              <w:t>4.</w:t>
            </w:r>
          </w:p>
        </w:tc>
        <w:tc>
          <w:tcPr>
            <w:tcW w:w="10047" w:type="dxa"/>
            <w:tcBorders/>
            <w:vAlign w:val="center"/>
          </w:tcPr>
          <w:p>
            <w:pPr>
              <w:pStyle w:val="TableContents"/>
              <w:bidi w:val="0"/>
              <w:spacing w:before="0" w:after="283"/>
              <w:jc w:val="both"/>
              <w:rPr/>
            </w:pPr>
            <w:r>
              <w:rPr>
                <w:u w:val="single"/>
              </w:rPr>
              <w:t>WARRANT HOLDER NOT DEEMED A SHAREHOLDER</w:t>
            </w:r>
            <w:r>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other distributions, participate in or receive any rights, options or warrants offered to holders of Ordinary Shares (including in any rights offering),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283"/>
              <w:jc w:val="left"/>
              <w:rPr>
                <w:b/>
              </w:rPr>
            </w:pPr>
            <w:r>
              <w:rPr>
                <w:b/>
              </w:rPr>
              <w:t>5.</w:t>
            </w:r>
          </w:p>
        </w:tc>
        <w:tc>
          <w:tcPr>
            <w:tcW w:w="9603" w:type="dxa"/>
            <w:tcBorders/>
            <w:vAlign w:val="center"/>
          </w:tcPr>
          <w:p>
            <w:pPr>
              <w:pStyle w:val="TableContents"/>
              <w:bidi w:val="0"/>
              <w:spacing w:before="0" w:after="283"/>
              <w:jc w:val="both"/>
              <w:rPr/>
            </w:pPr>
            <w:r>
              <w:rPr>
                <w:u w:val="single"/>
              </w:rPr>
              <w:t>REISSUANCE OF WARRANTS</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Transfer of Warrant</w:t>
            </w:r>
            <w:r>
              <w:rPr/>
              <w:t>. If this Warrant is to be transferred, the Holder shall surrender this Warrant to the Company, whereupon the Company will forthwith issue and deliver upon the order of the Holder a new Warrant (in accordance with Section 5‎(d)), registered as the Holder may request, representing the right to purchase the number of Warrant Shares being transferred by the Holder and, if less than the total number of Warrant Shares then underlying this Warrant is being transferred, a new Warrant (in accordance with Section ‎5‎(d))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to the Company an opinion of counsel selected by the Holder, the form and substance of which opinion shall be reasonably satisfactory to the Company, to the effect that such transfer does not require registration of such transferred securities under the Securities Act.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u w:val="single"/>
              </w:rPr>
              <w:t>Lost, Stolen or Mutilated Warrant</w:t>
            </w:r>
            <w:r>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‎5‎(d)) representing the right to purchase the Warrant Shares then underlying this Warrant.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u w:val="single"/>
              </w:rPr>
              <w:t>Exchangeable for Multiple Warrants</w:t>
            </w:r>
            <w:r>
              <w:rPr/>
              <w:t>. This Warrant is exchangeable, upon the surrender hereof by the Holder at the principal office of the Company, for a new Warrant or Warrants (in accordance with Section 5‎(d))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u w:val="single"/>
              </w:rPr>
              <w:t>Issuance of New Warrants</w:t>
            </w:r>
            <w:r>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‎5‎(a) or Section 5‎(c),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b/>
              </w:rPr>
            </w:pPr>
            <w:r>
              <w:rPr>
                <w:b/>
              </w:rPr>
              <w:t>6.</w:t>
            </w:r>
          </w:p>
        </w:tc>
        <w:tc>
          <w:tcPr>
            <w:tcW w:w="10048" w:type="dxa"/>
            <w:tcBorders/>
            <w:vAlign w:val="center"/>
          </w:tcPr>
          <w:p>
            <w:pPr>
              <w:pStyle w:val="TableContents"/>
              <w:bidi w:val="0"/>
              <w:spacing w:before="0" w:after="283"/>
              <w:jc w:val="both"/>
              <w:rPr/>
            </w:pPr>
            <w:r>
              <w:rPr>
                <w:u w:val="single"/>
              </w:rPr>
              <w:t>NOTICES</w:t>
            </w:r>
            <w:r>
              <w:rPr/>
              <w: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number of Warrant Shares in accordance with the terms of this Warrant, setting forth in reasonable detail, and certifying, the calculation of such adjustment(s) and (ii) at least two (2) days prior to the date on which the Company closes its books or takes a record (A) with respect to any dividend or distribution upon the Ordinary Shares, (B) with respect to any grants, issuances or sales of any rights to purchase shares, warrants, securities, indebtedness or other property pro rata to the holders of Ordinary Shares or (C) for determining rights to vote with respect to any Exit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two (2) Trading Days prior to the consummation of any Exit Transaction. It is expressly understood and agreed that the time of execution specified by the Holder in each Exercise Notice shall be definitive and may not be disputed or challenged by the Company. The Holder’s address for the provision of notices to the Holder shall be provided in writing by the Holder to the Company, to the attention of its general counsel.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b/>
              </w:rPr>
            </w:pPr>
            <w:r>
              <w:rPr>
                <w:b/>
              </w:rPr>
              <w:t>7.</w:t>
            </w:r>
          </w:p>
        </w:tc>
        <w:tc>
          <w:tcPr>
            <w:tcW w:w="10041" w:type="dxa"/>
            <w:tcBorders/>
            <w:vAlign w:val="center"/>
          </w:tcPr>
          <w:p>
            <w:pPr>
              <w:pStyle w:val="TableContents"/>
              <w:bidi w:val="0"/>
              <w:spacing w:before="0" w:after="283"/>
              <w:jc w:val="both"/>
              <w:rPr/>
            </w:pPr>
            <w:r>
              <w:rPr>
                <w:u w:val="single"/>
              </w:rPr>
              <w:t>AMENDMENT AND WAIVER</w:t>
            </w:r>
            <w:r>
              <w:rPr/>
              <w:t>. Except as otherwise provided herein, the provisions of this Warrant may be amended and the Company may take any action herein prohibited, or omit to perform any act herein required to be performed by it, only if the Company has obtained the written consent of the Holder, provided that the Company may extend the Expiration Date without the consent of the Holder. No waiver shall be effective unless it is in writing and signed by an authorized representative of the waiving party.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b/>
              </w:rPr>
            </w:pPr>
            <w:r>
              <w:rPr>
                <w:b/>
              </w:rPr>
              <w:t>8.</w:t>
            </w:r>
          </w:p>
        </w:tc>
        <w:tc>
          <w:tcPr>
            <w:tcW w:w="10047" w:type="dxa"/>
            <w:tcBorders/>
            <w:vAlign w:val="center"/>
          </w:tcPr>
          <w:p>
            <w:pPr>
              <w:pStyle w:val="TableContents"/>
              <w:bidi w:val="0"/>
              <w:spacing w:before="0" w:after="283"/>
              <w:jc w:val="both"/>
              <w:rPr/>
            </w:pPr>
            <w:r>
              <w:rPr>
                <w:u w:val="single"/>
              </w:rPr>
              <w:t>SEVERABILITY</w:t>
            </w:r>
            <w:r>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b/>
              </w:rPr>
            </w:pPr>
            <w:r>
              <w:rPr>
                <w:b/>
              </w:rPr>
              <w:t>9.</w:t>
            </w:r>
          </w:p>
        </w:tc>
        <w:tc>
          <w:tcPr>
            <w:tcW w:w="10047" w:type="dxa"/>
            <w:tcBorders/>
            <w:vAlign w:val="center"/>
          </w:tcPr>
          <w:p>
            <w:pPr>
              <w:pStyle w:val="TableContents"/>
              <w:bidi w:val="0"/>
              <w:spacing w:before="0" w:after="283"/>
              <w:jc w:val="both"/>
              <w:rPr/>
            </w:pPr>
            <w:r>
              <w:rPr>
                <w:u w:val="single"/>
              </w:rPr>
              <w:t>GOVERNING LAW</w:t>
            </w:r>
            <w:r>
              <w:rPr/>
              <w:t>. This Warrant shall be governed by and construed and enforced in accordance with, and all questions concerning the construction, validity, interpretation and performance of this Warrant shall be governed by, the internal laws of the State of Israel, without giving effect to any choice of law or conflict of law provision or rule that would cause the application of the laws of any jurisdictions other than the State of Israel. The Company hereby irrevocably submits to the exclusive jurisdiction of the courts of Tel Aviv, Israel,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enforce a judgment or other court ruling in favor of the Holder.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b/>
              </w:rPr>
            </w:pPr>
            <w:r>
              <w:rPr>
                <w:b/>
              </w:rPr>
              <w:t>10.</w:t>
            </w:r>
          </w:p>
        </w:tc>
        <w:tc>
          <w:tcPr>
            <w:tcW w:w="9915" w:type="dxa"/>
            <w:tcBorders/>
            <w:vAlign w:val="center"/>
          </w:tcPr>
          <w:p>
            <w:pPr>
              <w:pStyle w:val="TableContents"/>
              <w:bidi w:val="0"/>
              <w:spacing w:before="0" w:after="283"/>
              <w:jc w:val="both"/>
              <w:rPr/>
            </w:pPr>
            <w:r>
              <w:rPr>
                <w:u w:val="single"/>
              </w:rPr>
              <w:t>CONSTRUCTION; HEADINGS</w:t>
            </w:r>
            <w:r>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b/>
              </w:rPr>
            </w:pPr>
            <w:r>
              <w:rPr>
                <w:b/>
              </w:rPr>
              <w:t>11.</w:t>
            </w:r>
          </w:p>
        </w:tc>
        <w:tc>
          <w:tcPr>
            <w:tcW w:w="9929" w:type="dxa"/>
            <w:tcBorders/>
            <w:vAlign w:val="center"/>
          </w:tcPr>
          <w:p>
            <w:pPr>
              <w:pStyle w:val="TableContents"/>
              <w:bidi w:val="0"/>
              <w:spacing w:before="0" w:after="283"/>
              <w:jc w:val="both"/>
              <w:rPr/>
            </w:pPr>
            <w:r>
              <w:rPr>
                <w:u w:val="single"/>
              </w:rPr>
              <w:t>REMEDIES, CHARACTERIZATION, OTHER OBLIGATIONS, BREACHES AND INJUNCTIVE RELIEF</w:t>
            </w:r>
            <w:r>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rPr>
            </w:pPr>
            <w:r>
              <w:rPr>
                <w:b/>
              </w:rPr>
              <w:t>12.</w:t>
            </w:r>
          </w:p>
        </w:tc>
        <w:tc>
          <w:tcPr>
            <w:tcW w:w="9923" w:type="dxa"/>
            <w:tcBorders/>
            <w:vAlign w:val="center"/>
          </w:tcPr>
          <w:p>
            <w:pPr>
              <w:pStyle w:val="TableContents"/>
              <w:bidi w:val="0"/>
              <w:spacing w:before="0" w:after="283"/>
              <w:jc w:val="both"/>
              <w:rPr/>
            </w:pPr>
            <w:r>
              <w:rPr>
                <w:u w:val="single"/>
              </w:rPr>
              <w:t>TRANSFER</w:t>
            </w:r>
            <w:r>
              <w:rPr/>
              <w:t>. This Warrant may be offered for sale, sold, transferred or assigned by the Holder without the consent of the Company, provided that such sale, transfer or assignment of any of the Company’s securities represented hereunder shall not be effected (i) in the absence of (a) an effective registration statement under the Securities Act of 1933, as amended, or applicable state securities laws, or (b) an opinion of counsel to the Holder, if requested by the Company, from reputable counsel, that registration is not required under such laws; or (ii) unless sold or eligible to be sold pursuant to Rule 144 under said Act.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b/>
              </w:rPr>
            </w:pPr>
            <w:r>
              <w:rPr>
                <w:b/>
              </w:rPr>
              <w:t>13.</w:t>
            </w:r>
          </w:p>
        </w:tc>
        <w:tc>
          <w:tcPr>
            <w:tcW w:w="9877" w:type="dxa"/>
            <w:tcBorders/>
            <w:vAlign w:val="center"/>
          </w:tcPr>
          <w:p>
            <w:pPr>
              <w:pStyle w:val="TableContents"/>
              <w:bidi w:val="0"/>
              <w:spacing w:before="0" w:after="283"/>
              <w:jc w:val="both"/>
              <w:rPr/>
            </w:pPr>
            <w:r>
              <w:rPr>
                <w:u w:val="single"/>
              </w:rPr>
              <w:t>CERTAIN DEFINITIONS</w:t>
            </w:r>
            <w:r>
              <w:rPr/>
              <w:t>. For purposes of this Warrant, the following terms shall have the following meanings: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w:t>
            </w:r>
            <w:r>
              <w:rPr>
                <w:b/>
              </w:rPr>
              <w:t>Business Day</w:t>
            </w:r>
            <w:r>
              <w:rPr/>
              <w:t>” means any day other than Friday, Saturday, Sunday or other day on which commercial banks in New York, New York or Israel are authorized or required by law to remain closed.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w:t>
            </w:r>
            <w:r>
              <w:rPr>
                <w:b/>
              </w:rPr>
              <w:t>Convertible Securities</w:t>
            </w:r>
            <w:r>
              <w:rPr/>
              <w:t>” means any stock or other security (other than Options) that is at any time and under any circumstances, directly or indirectly, convertible into, exercisable or exchangeable for, or which otherwise entitles the holder thereof to acquire, any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w:t>
            </w:r>
            <w:r>
              <w:rPr>
                <w:b/>
              </w:rPr>
              <w:t>Expiration Date</w:t>
            </w:r>
            <w:r>
              <w:rPr/>
              <w:t>” means the date that is five years after the Issuance Date or, if such date falls on a day other than a Business Day or on which trading does not take place on the Principal Market (a “</w:t>
            </w:r>
            <w:r>
              <w:rPr>
                <w:b/>
              </w:rPr>
              <w:t>Holiday</w:t>
            </w:r>
            <w:r>
              <w:rPr/>
              <w:t>”), the next date that is not a Holiday, provided, however, that the Expiration Date shall be accelerated to the date of closing of an Exit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w:t>
            </w:r>
            <w:r>
              <w:rPr>
                <w:b/>
              </w:rPr>
              <w:t>Exit Transaction</w:t>
            </w:r>
            <w:r>
              <w:rPr/>
              <w:t>” means a share purchase, merger or other business combination (including, without limitation, a reorganization, recapitalization, spin-off or scheme of arrangement) with any other Person(s) whereby (i) such other Person(s) acquire (or otherwise becomes the holder, directly or indirectly, of) more than 80% of the outstanding shares of Voting Stock of the Company (not including any shares of Voting Stock of the Company held by the other Person(s) or other Person(s) making or party to, or associated or affiliated with the other Person(s) making or party to, such transaction) and (ii) the Company ceases to be a public company for purposes of the Israeli Companies Law, 1999.</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283"/>
              <w:jc w:val="both"/>
              <w:rPr/>
            </w:pPr>
            <w:r>
              <w:rPr/>
              <w:t>“</w:t>
            </w:r>
            <w:r>
              <w:rPr>
                <w:b/>
              </w:rPr>
              <w:t>Options</w:t>
            </w:r>
            <w:r>
              <w:rPr/>
              <w:t>” means any rights, warrants or options to subscribe for or purchase Ordinary Shares or Convertible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t>“</w:t>
            </w:r>
            <w:r>
              <w:rPr>
                <w:b/>
              </w:rPr>
              <w:t>Ordinary Shares</w:t>
            </w:r>
            <w:r>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(g)</w:t>
            </w:r>
          </w:p>
        </w:tc>
        <w:tc>
          <w:tcPr>
            <w:tcW w:w="9920" w:type="dxa"/>
            <w:tcBorders/>
            <w:vAlign w:val="center"/>
          </w:tcPr>
          <w:p>
            <w:pPr>
              <w:pStyle w:val="TableContents"/>
              <w:bidi w:val="0"/>
              <w:spacing w:before="0" w:after="283"/>
              <w:jc w:val="both"/>
              <w:rPr/>
            </w:pPr>
            <w:r>
              <w:rPr/>
              <w:t>“</w:t>
            </w:r>
            <w:r>
              <w:rPr>
                <w:b/>
              </w:rPr>
              <w:t>Person</w:t>
            </w:r>
            <w:r>
              <w:rPr/>
              <w:t>” means an individual, a limited liability company, a partnership, a joint venture, a corporation, a trust, an unincorporated organization, any other entity or a government or any department or agency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2" w:type="dxa"/>
            <w:tcBorders/>
            <w:vAlign w:val="center"/>
          </w:tcPr>
          <w:p>
            <w:pPr>
              <w:pStyle w:val="TableContents"/>
              <w:bidi w:val="0"/>
              <w:spacing w:before="0" w:after="283"/>
              <w:jc w:val="both"/>
              <w:rPr/>
            </w:pPr>
            <w:r>
              <w:rPr/>
              <w:t>“</w:t>
            </w:r>
            <w:r>
              <w:rPr>
                <w:b/>
              </w:rPr>
              <w:t>Principal Market</w:t>
            </w:r>
            <w:r>
              <w:rPr/>
              <w:t>” means the Nasdaq Stock Market or, if such market is not the principal trading market for the Ordinary Shares, then on the principal securities exchange or securities market on which the Ordinary Shares is then traded.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w:t>
            </w:r>
            <w:r>
              <w:rPr>
                <w:b/>
              </w:rPr>
              <w:t>Trading Day</w:t>
            </w:r>
            <w:r>
              <w:rPr/>
              <w:t>” means, as applicable, (x) with respect to all price determinations relating to the Ordinary Shares, any day on which the Ordinary Shares is traded on the Principal Market, provided that “Trading Day” shall not include any day on which the Ordinary Shares are scheduled to trade on such exchange or market for less than 4.5 hours or any day that the Ordinary Shares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(j)</w:t>
            </w:r>
          </w:p>
        </w:tc>
        <w:tc>
          <w:tcPr>
            <w:tcW w:w="9998" w:type="dxa"/>
            <w:tcBorders/>
            <w:vAlign w:val="center"/>
          </w:tcPr>
          <w:p>
            <w:pPr>
              <w:pStyle w:val="TableContents"/>
              <w:bidi w:val="0"/>
              <w:spacing w:before="0" w:after="283"/>
              <w:jc w:val="both"/>
              <w:rPr/>
            </w:pPr>
            <w:r>
              <w:rPr/>
              <w:t>“</w:t>
            </w:r>
            <w:r>
              <w:rPr>
                <w:b/>
              </w:rPr>
              <w:t>Voting Stock</w:t>
            </w:r>
            <w:r>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Company has caused this Warrant to Purchase Ordinary Shares to be duly executed as of the Issuance Date set out above.</w:t>
      </w:r>
    </w:p>
    <w:p>
      <w:pPr>
        <w:pStyle w:val="TextBody"/>
        <w:bidi w:val="0"/>
        <w:spacing w:before="0" w:after="0"/>
        <w:ind w:left="0" w:right="0" w:hanging="0"/>
        <w:jc w:val="both"/>
        <w:rPr>
          <w:caps w:val="false"/>
          <w:smallCaps w:val="false"/>
        </w:rPr>
      </w:pPr>
      <w:r>
        <w:rPr>
          <w:caps w:val="false"/>
          <w:smallCaps w:val="false"/>
        </w:rPr>
        <w:t> </w:t>
      </w:r>
    </w:p>
    <w:tbl>
      <w:tblPr>
        <w:tblW w:w="3529" w:type="dxa"/>
        <w:jc w:val="left"/>
        <w:tblInd w:w="0" w:type="dxa"/>
        <w:tblLayout w:type="fixed"/>
        <w:tblCellMar>
          <w:top w:w="0" w:type="dxa"/>
          <w:left w:w="0" w:type="dxa"/>
          <w:bottom w:w="0" w:type="dxa"/>
          <w:right w:w="0" w:type="dxa"/>
        </w:tblCellMar>
      </w:tblPr>
      <w:tblGrid>
        <w:gridCol w:w="75"/>
        <w:gridCol w:w="1455"/>
        <w:gridCol w:w="1999"/>
      </w:tblGrid>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By:</w:t>
            </w:r>
          </w:p>
        </w:tc>
        <w:tc>
          <w:tcPr>
            <w:tcW w:w="199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Name: </w:t>
            </w:r>
          </w:p>
        </w:tc>
        <w:tc>
          <w:tcPr>
            <w:tcW w:w="19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Title:</w:t>
            </w:r>
          </w:p>
        </w:tc>
        <w:tc>
          <w:tcPr>
            <w:tcW w:w="19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By:</w:t>
            </w:r>
          </w:p>
        </w:tc>
        <w:tc>
          <w:tcPr>
            <w:tcW w:w="199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Name:</w:t>
            </w:r>
          </w:p>
        </w:tc>
        <w:tc>
          <w:tcPr>
            <w:tcW w:w="19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Title:</w:t>
            </w:r>
          </w:p>
        </w:tc>
        <w:tc>
          <w:tcPr>
            <w:tcW w:w="1999"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 TO PURCHASE </w:t>
      </w:r>
      <w:r>
        <w:rPr>
          <w:rFonts w:ascii="Times New Roman;Times;Serif" w:hAnsi="Times New Roman;Times;Serif"/>
          <w:b/>
          <w:i w:val="false"/>
          <w:caps/>
          <w:sz w:val="20"/>
        </w:rPr>
        <w:t>Ordinary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HUB Cyber Security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the attached warrant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hereby exercises the right to purchase in respect of _________________ Ordinary Shares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HUB Cyber Security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undersigned holder hereby represents that the issuance of the Warrant Shares will not cause the undersigned holder’s holdings in the Company’s Ordinary Shares to exceed the Maximum Percentage, as defined in Section 1(c) of the Warrant, based on the number of outstanding Ordinary Shares provided to the holder by the Company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Exercise Price shall be paid (check one): [  ] in cash by wire transfer of immediately available funds; or [  ] by cashless exercise pursuant to Section 1(b)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 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719" w:type="dxa"/>
        <w:jc w:val="left"/>
        <w:tblInd w:w="0" w:type="dxa"/>
        <w:tblLayout w:type="fixed"/>
        <w:tblCellMar>
          <w:top w:w="28" w:type="dxa"/>
          <w:left w:w="0" w:type="dxa"/>
          <w:bottom w:w="0" w:type="dxa"/>
          <w:right w:w="0" w:type="dxa"/>
        </w:tblCellMar>
      </w:tblPr>
      <w:tblGrid>
        <w:gridCol w:w="922"/>
        <w:gridCol w:w="1577"/>
        <w:gridCol w:w="145"/>
        <w:gridCol w:w="75"/>
      </w:tblGrid>
      <w:tr>
        <w:trPr/>
        <w:tc>
          <w:tcPr>
            <w:tcW w:w="2644" w:type="dxa"/>
            <w:gridSpan w:val="3"/>
            <w:tcBorders>
              <w:top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Registered Holder</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pPr>
            <w:r>
              <w:rPr/>
              <w:t> </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722" w:type="dxa"/>
            <w:gridSpan w:val="2"/>
            <w:tcBorders>
              <w:bottom w:val="single" w:sz="12"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______________ to issue the above indicated number of Ordinary Shares.</w:t>
      </w:r>
    </w:p>
    <w:p>
      <w:pPr>
        <w:pStyle w:val="TextBody"/>
        <w:bidi w:val="0"/>
        <w:spacing w:before="0" w:after="0"/>
        <w:ind w:left="4320" w:right="0" w:hanging="0"/>
        <w:jc w:val="left"/>
        <w:rPr>
          <w:caps/>
        </w:rPr>
      </w:pPr>
      <w:r>
        <w:rPr>
          <w:caps/>
        </w:rPr>
        <w:t> </w:t>
      </w:r>
    </w:p>
    <w:tbl>
      <w:tblPr>
        <w:tblW w:w="3528" w:type="dxa"/>
        <w:jc w:val="left"/>
        <w:tblInd w:w="0" w:type="dxa"/>
        <w:tblLayout w:type="fixed"/>
        <w:tblCellMar>
          <w:top w:w="0" w:type="dxa"/>
          <w:left w:w="0" w:type="dxa"/>
          <w:bottom w:w="0" w:type="dxa"/>
          <w:right w:w="0" w:type="dxa"/>
        </w:tblCellMar>
      </w:tblPr>
      <w:tblGrid>
        <w:gridCol w:w="75"/>
        <w:gridCol w:w="1083"/>
        <w:gridCol w:w="2099"/>
        <w:gridCol w:w="271"/>
      </w:tblGrid>
      <w:tr>
        <w:trPr/>
        <w:tc>
          <w:tcPr>
            <w:tcW w:w="75"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b/>
              </w:rPr>
            </w:pPr>
            <w:r>
              <w:rPr>
                <w:b/>
              </w:rPr>
              <w:t>HUB CYBER SECURITY LTD.</w:t>
            </w:r>
          </w:p>
        </w:tc>
      </w:tr>
      <w:tr>
        <w:trPr/>
        <w:tc>
          <w:tcPr>
            <w:tcW w:w="75" w:type="dxa"/>
            <w:tcBorders/>
            <w:vAlign w:val="center"/>
          </w:tcPr>
          <w:p>
            <w:pPr>
              <w:pStyle w:val="TableContents"/>
              <w:bidi w:val="0"/>
              <w:spacing w:before="0" w:after="283"/>
              <w:jc w:val="left"/>
              <w:rPr/>
            </w:pPr>
            <w:r>
              <w:rPr/>
              <w:t> </w:t>
            </w:r>
          </w:p>
        </w:tc>
        <w:tc>
          <w:tcPr>
            <w:tcW w:w="345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By:</w:t>
            </w:r>
          </w:p>
        </w:tc>
        <w:tc>
          <w:tcPr>
            <w:tcW w:w="237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2099" w:type="dxa"/>
            <w:tcBorders/>
            <w:vAlign w:val="center"/>
          </w:tcPr>
          <w:p>
            <w:pPr>
              <w:pStyle w:val="TableContents"/>
              <w:bidi w:val="0"/>
              <w:spacing w:before="0" w:after="283"/>
              <w:jc w:val="left"/>
              <w:rPr/>
            </w:pPr>
            <w:r>
              <w:rPr/>
              <w:t>Name: </w:t>
            </w:r>
          </w:p>
        </w:tc>
        <w:tc>
          <w:tcPr>
            <w:tcW w:w="2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2099" w:type="dxa"/>
            <w:tcBorders/>
            <w:vAlign w:val="center"/>
          </w:tcPr>
          <w:p>
            <w:pPr>
              <w:pStyle w:val="TableContents"/>
              <w:bidi w:val="0"/>
              <w:spacing w:before="0" w:after="283"/>
              <w:jc w:val="left"/>
              <w:rPr/>
            </w:pPr>
            <w:r>
              <w:rPr/>
              <w:t>Title:</w:t>
            </w:r>
          </w:p>
        </w:tc>
        <w:tc>
          <w:tcPr>
            <w:tcW w:w="2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23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By:</w:t>
            </w:r>
          </w:p>
        </w:tc>
        <w:tc>
          <w:tcPr>
            <w:tcW w:w="237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2099" w:type="dxa"/>
            <w:tcBorders/>
            <w:vAlign w:val="center"/>
          </w:tcPr>
          <w:p>
            <w:pPr>
              <w:pStyle w:val="TableContents"/>
              <w:bidi w:val="0"/>
              <w:spacing w:before="0" w:after="283"/>
              <w:jc w:val="left"/>
              <w:rPr/>
            </w:pPr>
            <w:r>
              <w:rPr/>
              <w:t>Name:</w:t>
            </w:r>
          </w:p>
        </w:tc>
        <w:tc>
          <w:tcPr>
            <w:tcW w:w="2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left"/>
              <w:rPr/>
            </w:pPr>
            <w:r>
              <w:rPr/>
              <w:t> </w:t>
            </w:r>
          </w:p>
        </w:tc>
        <w:tc>
          <w:tcPr>
            <w:tcW w:w="2099" w:type="dxa"/>
            <w:tcBorders/>
            <w:vAlign w:val="center"/>
          </w:tcPr>
          <w:p>
            <w:pPr>
              <w:pStyle w:val="TableContents"/>
              <w:bidi w:val="0"/>
              <w:spacing w:before="0" w:after="283"/>
              <w:jc w:val="left"/>
              <w:rPr/>
            </w:pPr>
            <w:r>
              <w:rPr/>
              <w:t>Title:</w:t>
            </w:r>
          </w:p>
        </w:tc>
        <w:tc>
          <w:tcPr>
            <w:tcW w:w="2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906201ex99-2.htm"/>
      <w:bookmarkStart w:id="5" w:name="ksea0299062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FROM REPUTABLE COUNSEL,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HUB Cyber Security Ltd.</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Pre-Funded Warrant To Purchase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July 20,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 ],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upon exercise of this Warrant to Purchase Ordinary Shares (including any Warrants to Purchase Ordinary Shares issued in exchange, transfer or replacement hereof,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or times on or after the Issuance Date, 9,543,226 (subject to adjustment as provided herein), fully paid and non-assessable Ordinary Shares (as defined below)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b/>
              </w:rPr>
            </w:pPr>
            <w:r>
              <w:rPr>
                <w:b/>
              </w:rPr>
              <w:t>1.</w:t>
            </w:r>
          </w:p>
        </w:tc>
        <w:tc>
          <w:tcPr>
            <w:tcW w:w="9443" w:type="dxa"/>
            <w:tcBorders/>
            <w:vAlign w:val="center"/>
          </w:tcPr>
          <w:p>
            <w:pPr>
              <w:pStyle w:val="TableContents"/>
              <w:bidi w:val="0"/>
              <w:spacing w:before="0" w:after="283"/>
              <w:jc w:val="both"/>
              <w:rPr/>
            </w:pPr>
            <w:r>
              <w:rPr>
                <w:u w:val="single"/>
              </w:rPr>
              <w:t>EXERCISE OF WARRANT</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both"/>
              <w:rPr/>
            </w:pPr>
            <w:r>
              <w:rPr>
                <w:u w:val="single"/>
              </w:rPr>
              <w:t>Mechanics of Exercise</w:t>
            </w:r>
            <w:r>
              <w:rPr/>
              <w:t xml:space="preserve">. Subject to the terms and conditions hereof (including, without limitation, the limitations set forth in Section ‎1‎(c)), this Warrant may be exercised by the Holder on any day on or after the Issuance Date in whole or in part, by delivery (whether via facsimile or otherwise) of a written notice, in the form attached hereto as </w:t>
            </w:r>
            <w:r>
              <w:rPr>
                <w:b/>
                <w:u w:val="single"/>
              </w:rPr>
              <w:t>Exhibit A</w:t>
            </w:r>
            <w:r>
              <w:rPr/>
              <w:t xml:space="preserve"> (the “</w:t>
            </w:r>
            <w:r>
              <w:rPr>
                <w:b/>
              </w:rPr>
              <w:t>Exercise Notice</w:t>
            </w:r>
            <w:r>
              <w:rPr/>
              <w:t>”), of the Holder’s election to exercise this Warrant.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second (2</w:t>
            </w:r>
            <w:r>
              <w:rPr>
                <w:position w:val="8"/>
                <w:sz w:val="19"/>
              </w:rPr>
              <w:t>nd</w:t>
            </w:r>
            <w:r>
              <w:rPr/>
              <w:t>) Trading Day following the date on which the Company has received such Exercise Notice, the Company shall instruct its transfer agent (the “</w:t>
            </w:r>
            <w:r>
              <w:rPr>
                <w:b/>
              </w:rPr>
              <w:t>Transfer Agent</w:t>
            </w:r>
            <w:r>
              <w:rPr/>
              <w:t>”), (i) </w:t>
            </w:r>
            <w:r>
              <w:rPr>
                <w:i/>
                <w:u w:val="single"/>
              </w:rPr>
              <w:t>provided</w:t>
            </w:r>
            <w:r>
              <w:rPr/>
              <w:t> that the Transfer Agent is participating in The Depository Trust Company (“</w:t>
            </w:r>
            <w:r>
              <w:rPr>
                <w:b/>
              </w:rPr>
              <w:t>DTC</w:t>
            </w:r>
            <w:r>
              <w:rPr/>
              <w:t>”) Fast Automated Securities Transfer Program (which the Company shall cause the Transfer Agent to do at Holder’s request) and provided the legends would be eligible to be removed from such Ordinary Shares in the discretion of the Company, upon the request of the Holder, to credit such aggregate number of Ordinary Shares to which the Holder is entitled pursuant to such exercise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in the discretion of the Company, to issue and deliver to the Holder or, at the Holder’s instruction pursuant to the Exercise Notice, the Holder’s agent or designee, in each case, sent to the address as specified in the applicable Exercise Notice, a certificate or book entry position, in the name of the Holder or its designee (as indicated in the applicable Exercise Notice), for the number of Ordinary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book entry positions evidencing such Warrant Shares (as the case may be). If the number of Warrant Shares represented by this Warrant submitted for exercise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 and deliver to the Holder (or its designee) a new Warrant (in accordance with Section ‎5(d))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up to the nearest whole number. The Company shall pay any and all taxes and fees which may be payable with respect to the issuance and delivery of Warrant Shares upon exercise of this Warrant.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u w:val="single"/>
              </w:rPr>
              <w:t>Exercise Price; Pre-Funding</w:t>
            </w:r>
            <w:r>
              <w:rPr/>
              <w:t>. The exercise price per Warrant Share is $0.001 (the “Exercise Price”), subject to adjustment as provided herein. This Warrant is pre-funded, such that the consideration for the Warrant Shares (other than the nominal Exercise Price) was paid in full on the Issuance Date, and this Warrant may be exercised by the Holder, in whole or in part from time to time, subject to the Maximum Percentage. The aggregate Exercise Price for the Warrant Shares being exercised shall be payable, at the Holder’s election, (i) in cash by wire transfer of immediately available funds, or (ii) by means of a cashless exercise, in which event the Holder shall be entitled to receive a number of Ordinary Shares equal to the product of (X) the number of Warrant Shares as to which this Warrant is being exercised multiplied by (Y) a fraction, the numerator of which is the Fair Market Value of one Ordinary Share on the date of the applicable Exercise Notice minus the Exercise Price, and the denominator of which is such Fair Market Value, such that no cash payment of the Exercise Price shall be required. For purposes hereof, “Fair Market Value” means the closing price of the Ordinary Shares on the Principal Market on the Trading Day immediately preceding the date of the applicable Exercise Notice.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6" w:type="dxa"/>
            <w:tcBorders/>
            <w:vAlign w:val="center"/>
          </w:tcPr>
          <w:p>
            <w:pPr>
              <w:pStyle w:val="TableContents"/>
              <w:bidi w:val="0"/>
              <w:spacing w:before="0" w:after="283"/>
              <w:jc w:val="both"/>
              <w:rPr/>
            </w:pPr>
            <w:r>
              <w:rPr>
                <w:u w:val="single"/>
              </w:rPr>
              <w:t>Limitations on Exercises and Exchanges</w:t>
            </w:r>
            <w:r>
              <w:rPr/>
              <w:t>. Notwithstanding anything to the contrary contained in this Warrant, this Warrant shall not be exercisable or exchangeable by the Holder hereof to the extent (but only to the extent) that the Holder would hold (as defined for purposes of the Israeli Companies Law, 1999) or beneficially own (as defined for purposes of Section 13(d) of the 1934 Act) in excess of 4.99% of the number of Ordinary Shares outstanding after giving effect to the issuance of Ordinary Shares issuable upon exercise of the Warrant (the “</w:t>
            </w:r>
            <w:r>
              <w:rPr>
                <w:b/>
              </w:rPr>
              <w:t>Maximum Percentage</w:t>
            </w:r>
            <w:r>
              <w:rPr/>
              <w:t>”).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share holdings and all determinations and calculations (including, without limitation, with respect to calculations of percentage of holdings) shall be determined in accordance with the Israeli Companies Law, 1999 and with the U.S. Securities and Exchange Act of 1934, as amended, and the rules and regulations promulgated thereunder; in the event of a conflict between such two laws, the stricter one shall govern. The provisions of this paragraph shall be implemented in a manner otherwise than in strict conformity with the terms of this paragraph to correct this paragraph (or any portion hereof) which may be defective or inconsistent with the intended Maximum Percentage limitation herein contained or to make changes or supplements necessary or desirable to properly give effect to such Maximum Percentage limitation. The limitations contained in this paragraph shall apply to a successor Holder of this Warrant. For any reason at any time, upon the written or oral request of the Holder, the Company shall within two (2) Business Days confirm in writing to the Holder the number of Ordinary Shares then outstanding, including by virtue of any prior conversion or exercise or exchange of convertible or exercisable or exchangeable securities into Ordinary Shares. The Maximum Percentage limitation shall not apply to the Holder if the Warrant is exercised and the Ordinary Shares are issued concurrently with the sale or cancelation of such Ordinary Shares upon the closing of an Exit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u w:val="single"/>
              </w:rPr>
              <w:t>Reservation of Shares; Insufficient Authorized Shares</w:t>
            </w:r>
            <w:r>
              <w:rPr/>
              <w:t>. The Company shall initially reserve out of its authorized and unissued Ordinary Shares a number of Ordinary Shares equal to the maximum number of Warrant Shares issuable to satisfy the Company’s obligations to issue Ordinary Shares hereunder, and the Company shall at all times keep reserved for issuance under this Warrant a number of Ordinary Shares equal to the maximum number of Warrant Shares issuable to satisfy the Company’s obligation to issue Ordinary Shares hereunder.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u w:val="single"/>
              </w:rPr>
              <w:t>Activity Restriction</w:t>
            </w:r>
            <w:r>
              <w:rPr/>
              <w:t>. For so long as the Holder holds this Warrant or any Warrant Shares, the Holder will not acquire additional securities of the Company, alone or together with any other Person, which, following the acquisition thereof, would result in holding, directly or indirectly, more than the Maximum Percentage, and any Ordinary Shares held by the Holder in excess thereof shall be dormant shares. For the avoidance of any doubt, the Holder may vote any Ordinary Shares held or controlled by it up to the Maximum Percentage, solicit any proxies, or seek to advise or influence any Person with respect to any voting securities of the Company, in its sole discretion.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283"/>
              <w:jc w:val="both"/>
              <w:rPr/>
            </w:pPr>
            <w:r>
              <w:rPr>
                <w:u w:val="single"/>
              </w:rPr>
              <w:t>No Short Sales</w:t>
            </w:r>
            <w:r>
              <w:rPr/>
              <w:t>. The Holder covenants that through and including the first Trading Day following the full exercise or termination of this Warrant, none of the Holder or any of its officers, or any entity managed or controlled by the Holder (each of the foregoing, a “</w:t>
            </w:r>
            <w:r>
              <w:rPr>
                <w:b/>
              </w:rPr>
              <w:t>Restricted Person</w:t>
            </w:r>
            <w:r>
              <w:rPr/>
              <w:t>”) shall, directly or indirectly, (i) engage in any “short sale” (as such term is defined in Rule 200 of Regulation SHO of the 1934 Act) 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u w:val="single"/>
              </w:rPr>
              <w:t>Shareholder Approval</w:t>
            </w:r>
            <w:r>
              <w:rPr/>
              <w:t>. The Company shall call, and shall use its reasonable best efforts to convene and hold, a meeting of its shareholders as soon as reasonably practicable to approve the full exercise of this Warrant and the issuance of all Warrant Shares, together with an increase in the Company’s authorized share capital sufficient to permit such issuance in full (the “Shareholder Approval”). Notwithstanding anything to the contrary in this Warrant, upon the receipt of the Shareholder Approval, the Maximum Percentage limitation set forth in Section 1(c) shall automatically terminate and cease to apply, and this Warrant shall thereafter be exercisable in full without regard to the Maximum Percentage.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b/>
              </w:rPr>
            </w:pPr>
            <w:r>
              <w:rPr>
                <w:b/>
              </w:rPr>
              <w:t>2.</w:t>
            </w:r>
          </w:p>
        </w:tc>
        <w:tc>
          <w:tcPr>
            <w:tcW w:w="10006" w:type="dxa"/>
            <w:tcBorders/>
            <w:vAlign w:val="center"/>
          </w:tcPr>
          <w:p>
            <w:pPr>
              <w:pStyle w:val="TableContents"/>
              <w:bidi w:val="0"/>
              <w:spacing w:before="0" w:after="283"/>
              <w:jc w:val="both"/>
              <w:rPr/>
            </w:pPr>
            <w:r>
              <w:rPr>
                <w:u w:val="single"/>
              </w:rPr>
              <w:t>ADJUSTMENT TO NUMBER OF WARRANT SHARES</w:t>
            </w:r>
            <w:r>
              <w:rPr/>
              <w:t>. During such time as this Warrant is outstanding, the number of Warrant Shares issuable upon exercise of this Warrant is subject to adjustment from time to time as set forth in this Section ‎2.</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u w:val="single"/>
              </w:rPr>
              <w:t>Stock Dividends and Splits</w:t>
            </w:r>
            <w:r>
              <w:rPr/>
              <w:t>. If the Company, at any time on or after the Issuance Date of this Warrant, (i) distributes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number of Warrant Shares that may be issued upon exercise of this Warrant shall be increased or decreased proportionately, as the case may be. Any of the adjustment set forth above shall become effective immediately after the effective date of the applicable event.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u w:val="single"/>
              </w:rPr>
              <w:t>Calculations</w:t>
            </w:r>
            <w:r>
              <w:rPr/>
              <w:t>. All calculations under this Section ‎2 shall be made by rounding to the nearest 1/100</w:t>
            </w:r>
            <w:r>
              <w:rPr>
                <w:position w:val="8"/>
                <w:sz w:val="19"/>
              </w:rPr>
              <w:t>th</w:t>
            </w:r>
            <w:r>
              <w:rPr/>
              <w:t xml:space="preserve"> of a share. The number of Ordinary Shares outstanding at any given time shall not include shares owned or held by or for the account of the Company, and the disposition of any such shares shall be considered an issue or sale of Ordinary Shares.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b/>
              </w:rPr>
            </w:pPr>
            <w:r>
              <w:rPr>
                <w:b/>
              </w:rPr>
              <w:t>3.</w:t>
            </w:r>
          </w:p>
        </w:tc>
        <w:tc>
          <w:tcPr>
            <w:tcW w:w="10025" w:type="dxa"/>
            <w:tcBorders/>
            <w:vAlign w:val="center"/>
          </w:tcPr>
          <w:p>
            <w:pPr>
              <w:pStyle w:val="TableContents"/>
              <w:bidi w:val="0"/>
              <w:spacing w:before="0" w:after="283"/>
              <w:jc w:val="both"/>
              <w:rPr/>
            </w:pPr>
            <w:r>
              <w:rPr>
                <w:u w:val="single"/>
              </w:rPr>
              <w:t>NONCIRCUMVENTION</w:t>
            </w:r>
            <w:r>
              <w:rPr/>
              <w:t>. During such time as this Warrant is outstanding,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take all such actions as may be necessary or appropriate in order that the Company may validly and legally issue fully paid and non-assessable Ordinary Shares upon the exercise of this Warrant, and (ii) shall, so long as the Warrant is outstanding, take all actions necessary to reserve and keep available out of its authorized and unissued Ordinary Shares, solely for the purpose of effecting the exercise of the Warrant, the maximum number of Ordinary Shares as shall from time to time be necessary to effect the exercise of the Warrant then outstanding; provided, however, that such amount of reserved Ordinary Shares shall be limited by the Maximum Percentage of Ordinary Shares as set forth in Section ‎1(c).</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b/>
              </w:rPr>
            </w:pPr>
            <w:r>
              <w:rPr>
                <w:b/>
              </w:rPr>
              <w:t>4.</w:t>
            </w:r>
          </w:p>
        </w:tc>
        <w:tc>
          <w:tcPr>
            <w:tcW w:w="10024" w:type="dxa"/>
            <w:tcBorders/>
            <w:vAlign w:val="center"/>
          </w:tcPr>
          <w:p>
            <w:pPr>
              <w:pStyle w:val="TableContents"/>
              <w:bidi w:val="0"/>
              <w:spacing w:before="0" w:after="283"/>
              <w:jc w:val="both"/>
              <w:rPr/>
            </w:pPr>
            <w:r>
              <w:rPr>
                <w:u w:val="single"/>
              </w:rPr>
              <w:t>WARRANT HOLDER NOT DEEMED A SHAREHOLDER</w:t>
            </w:r>
            <w:r>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other distributions, participate in or receive any rights, options or warrants offered to holders of Ordinary Shares (including in any rights offering),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b/>
              </w:rPr>
            </w:pPr>
            <w:r>
              <w:rPr>
                <w:b/>
              </w:rPr>
              <w:t>5.</w:t>
            </w:r>
          </w:p>
        </w:tc>
        <w:tc>
          <w:tcPr>
            <w:tcW w:w="9543" w:type="dxa"/>
            <w:tcBorders/>
            <w:vAlign w:val="center"/>
          </w:tcPr>
          <w:p>
            <w:pPr>
              <w:pStyle w:val="TableContents"/>
              <w:bidi w:val="0"/>
              <w:spacing w:before="0" w:after="283"/>
              <w:jc w:val="both"/>
              <w:rPr/>
            </w:pPr>
            <w:r>
              <w:rPr>
                <w:u w:val="single"/>
              </w:rPr>
              <w:t>REISSUANCE OF WARRANTS</w:t>
            </w:r>
            <w:r>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Transfer of Warrant</w:t>
            </w:r>
            <w:r>
              <w:rPr/>
              <w:t>. If this Warrant is to be transferred, the Holder shall surrender this Warrant to the Company, whereupon the Company will forthwith issue and deliver upon the order of the Holder a new Warrant (in accordance with Section 5‎(d)), registered as the Holder may request, representing the right to purchase the number of Warrant Shares being transferred by the Holder and, if less than the total number of Warrant Shares then underlying this Warrant is being transferred, a new Warrant (in accordance with Section ‎5‎(d))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to the Company an opinion of counsel selected by the Holder, the form and substance of which opinion shall be reasonably satisfactory to the Company, to the effect that such transfer does not require registration of such transferred securities under the Securities Act.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u w:val="single"/>
              </w:rPr>
              <w:t>Lost, Stolen or Mutilated Warrant</w:t>
            </w:r>
            <w:r>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‎5‎(d)) representing the right to purchase the Warrant Shares then underlying this Warrant.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u w:val="single"/>
              </w:rPr>
              <w:t>Exchangeable for Multiple Warrants</w:t>
            </w:r>
            <w:r>
              <w:rPr/>
              <w:t>. This Warrant is exchangeable, upon the surrender hereof by the Holder at the principal office of the Company, for a new Warrant or Warrants (in accordance with Section 5‎(d))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u w:val="single"/>
              </w:rPr>
              <w:t>Issuance of New Warrants</w:t>
            </w:r>
            <w:r>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‎5‎(a) or Section 5‎(c),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b/>
              </w:rPr>
            </w:pPr>
            <w:r>
              <w:rPr>
                <w:b/>
              </w:rPr>
              <w:t>6.</w:t>
            </w:r>
          </w:p>
        </w:tc>
        <w:tc>
          <w:tcPr>
            <w:tcW w:w="10025" w:type="dxa"/>
            <w:tcBorders/>
            <w:vAlign w:val="center"/>
          </w:tcPr>
          <w:p>
            <w:pPr>
              <w:pStyle w:val="TableContents"/>
              <w:bidi w:val="0"/>
              <w:spacing w:before="0" w:after="283"/>
              <w:jc w:val="both"/>
              <w:rPr/>
            </w:pPr>
            <w:r>
              <w:rPr>
                <w:u w:val="single"/>
              </w:rPr>
              <w:t>NOTICES</w:t>
            </w:r>
            <w:r>
              <w:rPr/>
              <w: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number of Warrant Shares in accordance with the terms of this Warrant, setting forth in reasonable detail, and certifying, the calculation of such adjustment(s) and (ii) at least two (2) days prior to the date on which the Company closes its books or takes a record (A) with respect to any dividend or distribution upon the Ordinary Shares, (B) with respect to any grants, issuances or sales of any rights to purchase shares, warrants, securities, indebtedness or other property pro rata to the holders of Ordinary Shares or (C) for determining rights to vote with respect to any Exit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two (2) Trading Days prior to the consummation of any Exit Transaction. It is expressly understood and agreed that the time of execution specified by the Holder in each Exercise Notice shall be definitive and may not be disputed or challenged by the Company. The Holder’s address for the provision of notices to the Holder shall be provided in writing by the Holder to the Company, to the attention of its general counsel.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b/>
              </w:rPr>
            </w:pPr>
            <w:r>
              <w:rPr>
                <w:b/>
              </w:rPr>
              <w:t>7.</w:t>
            </w:r>
          </w:p>
        </w:tc>
        <w:tc>
          <w:tcPr>
            <w:tcW w:w="10018" w:type="dxa"/>
            <w:tcBorders/>
            <w:vAlign w:val="center"/>
          </w:tcPr>
          <w:p>
            <w:pPr>
              <w:pStyle w:val="TableContents"/>
              <w:bidi w:val="0"/>
              <w:spacing w:before="0" w:after="283"/>
              <w:jc w:val="both"/>
              <w:rPr/>
            </w:pPr>
            <w:r>
              <w:rPr>
                <w:u w:val="single"/>
              </w:rPr>
              <w:t>AMENDMENT AND WAIVER</w:t>
            </w:r>
            <w:r>
              <w:rPr/>
              <w:t>. Except as otherwise provided herein, the provisions of this Warrant may be amended and the Company may take any action herein prohibited, or omit to perform any act herein required to be performed by it, only if the Company has obtained the written consent of the Holder, provided that the Company may extend the Expiration Date without the consent of the Holder. No waiver shall be effective unless it is in writing and signed by an authorized representative of the waiving party.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b/>
              </w:rPr>
            </w:pPr>
            <w:r>
              <w:rPr>
                <w:b/>
              </w:rPr>
              <w:t>8.</w:t>
            </w:r>
          </w:p>
        </w:tc>
        <w:tc>
          <w:tcPr>
            <w:tcW w:w="10024" w:type="dxa"/>
            <w:tcBorders/>
            <w:vAlign w:val="center"/>
          </w:tcPr>
          <w:p>
            <w:pPr>
              <w:pStyle w:val="TableContents"/>
              <w:bidi w:val="0"/>
              <w:spacing w:before="0" w:after="283"/>
              <w:jc w:val="both"/>
              <w:rPr/>
            </w:pPr>
            <w:r>
              <w:rPr>
                <w:u w:val="single"/>
              </w:rPr>
              <w:t>SEVERABILITY</w:t>
            </w:r>
            <w:r>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b/>
              </w:rPr>
            </w:pPr>
            <w:r>
              <w:rPr>
                <w:b/>
              </w:rPr>
              <w:t>9.</w:t>
            </w:r>
          </w:p>
        </w:tc>
        <w:tc>
          <w:tcPr>
            <w:tcW w:w="10024" w:type="dxa"/>
            <w:tcBorders/>
            <w:vAlign w:val="center"/>
          </w:tcPr>
          <w:p>
            <w:pPr>
              <w:pStyle w:val="TableContents"/>
              <w:bidi w:val="0"/>
              <w:spacing w:before="0" w:after="283"/>
              <w:jc w:val="both"/>
              <w:rPr/>
            </w:pPr>
            <w:r>
              <w:rPr>
                <w:u w:val="single"/>
              </w:rPr>
              <w:t>GOVERNING LAW</w:t>
            </w:r>
            <w:r>
              <w:rPr/>
              <w:t>. This Warrant shall be governed by and construed and enforced in accordance with, and all questions concerning the construction, validity, interpretation and performance of this Warrant shall be governed by, the internal laws of the State of Israel, without giving effect to any choice of law or conflict of law provision or rule that would cause the application of the laws of any jurisdictions other than the State of Israel. The Company hereby irrevocably submits to the exclusive jurisdiction of the courts of Tel Aviv, Israel,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enforce a judgment or other court ruling in favor of the Holder.</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b/>
              </w:rPr>
            </w:pPr>
            <w:r>
              <w:rPr>
                <w:b/>
              </w:rPr>
              <w:t>10.</w:t>
            </w:r>
          </w:p>
        </w:tc>
        <w:tc>
          <w:tcPr>
            <w:tcW w:w="9892" w:type="dxa"/>
            <w:tcBorders/>
            <w:vAlign w:val="center"/>
          </w:tcPr>
          <w:p>
            <w:pPr>
              <w:pStyle w:val="TableContents"/>
              <w:bidi w:val="0"/>
              <w:spacing w:before="0" w:after="283"/>
              <w:jc w:val="both"/>
              <w:rPr/>
            </w:pPr>
            <w:r>
              <w:rPr>
                <w:u w:val="single"/>
              </w:rPr>
              <w:t>CONSTRUCTION; HEADINGS</w:t>
            </w:r>
            <w:r>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b/>
              </w:rPr>
            </w:pPr>
            <w:r>
              <w:rPr>
                <w:b/>
              </w:rPr>
              <w:t>11.</w:t>
            </w:r>
          </w:p>
        </w:tc>
        <w:tc>
          <w:tcPr>
            <w:tcW w:w="9906" w:type="dxa"/>
            <w:tcBorders/>
            <w:vAlign w:val="center"/>
          </w:tcPr>
          <w:p>
            <w:pPr>
              <w:pStyle w:val="TableContents"/>
              <w:bidi w:val="0"/>
              <w:spacing w:before="0" w:after="283"/>
              <w:jc w:val="both"/>
              <w:rPr/>
            </w:pPr>
            <w:r>
              <w:rPr>
                <w:u w:val="single"/>
              </w:rPr>
              <w:t>REMEDIES, CHARACTERIZATION, OTHER OBLIGATIONS, BREACHES AND INJUNCTIVE RELIEF</w:t>
            </w:r>
            <w:r>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b/>
              </w:rPr>
            </w:pPr>
            <w:r>
              <w:rPr>
                <w:b/>
              </w:rPr>
              <w:t>12.</w:t>
            </w:r>
          </w:p>
        </w:tc>
        <w:tc>
          <w:tcPr>
            <w:tcW w:w="9900" w:type="dxa"/>
            <w:tcBorders/>
            <w:vAlign w:val="center"/>
          </w:tcPr>
          <w:p>
            <w:pPr>
              <w:pStyle w:val="TableContents"/>
              <w:bidi w:val="0"/>
              <w:spacing w:before="0" w:after="283"/>
              <w:jc w:val="both"/>
              <w:rPr/>
            </w:pPr>
            <w:r>
              <w:rPr>
                <w:u w:val="single"/>
              </w:rPr>
              <w:t>TRANSFER</w:t>
            </w:r>
            <w:r>
              <w:rPr/>
              <w:t>. This Warrant may be offered for sale, sold, transferred or assigned by the Holder without the consent of the Company, provided that such sale, transfer or assignment of any of the Company’s securities represented hereunder shall not be effected (i) in the absence of (a) an effective registration statement under the Securities Act of 1933, as amended, or applicable state securities laws, or (b) an opinion of counsel to the Holder, if requested by the Company, from reputable counsel, that registration is not required under such laws; or (ii) unless sold or eligible to be sold pursuant to Rule 144 under said Act.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b/>
              </w:rPr>
            </w:pPr>
            <w:r>
              <w:rPr>
                <w:b/>
              </w:rPr>
              <w:t>13.</w:t>
            </w:r>
          </w:p>
        </w:tc>
        <w:tc>
          <w:tcPr>
            <w:tcW w:w="9855" w:type="dxa"/>
            <w:tcBorders/>
            <w:vAlign w:val="center"/>
          </w:tcPr>
          <w:p>
            <w:pPr>
              <w:pStyle w:val="TableContents"/>
              <w:bidi w:val="0"/>
              <w:spacing w:before="0" w:after="283"/>
              <w:jc w:val="both"/>
              <w:rPr/>
            </w:pPr>
            <w:r>
              <w:rPr>
                <w:u w:val="single"/>
              </w:rPr>
              <w:t>CERTAIN DEFINITIONS</w:t>
            </w:r>
            <w:r>
              <w:rPr/>
              <w:t>. For purposes of this Warrant, the following terms shall have the following meanings: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w:t>
            </w:r>
            <w:r>
              <w:rPr>
                <w:b/>
              </w:rPr>
              <w:t>Business Day</w:t>
            </w:r>
            <w:r>
              <w:rPr/>
              <w:t>” means any day other than Friday, Saturday, Sunday or other day on which commercial banks in New York, New York or Israel are authorized or required by law to remain closed.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w:t>
            </w:r>
            <w:r>
              <w:rPr>
                <w:b/>
              </w:rPr>
              <w:t>Convertible Securities</w:t>
            </w:r>
            <w:r>
              <w:rPr/>
              <w:t>” means any stock or other security (other than Options) that is at any time and under any circumstances, directly or indirectly, convertible into, exercisable or exchangeable for, or which otherwise entitles the holder thereof to acquire, any Ordinary Shares.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w:t>
            </w:r>
            <w:r>
              <w:rPr>
                <w:b/>
              </w:rPr>
              <w:t>Expiration Date</w:t>
            </w:r>
            <w:r>
              <w:rPr/>
              <w:t>” means the date that is five years after the Issuance Date or, if such date falls on a day other than a Business Day or on which trading does not take place on the Principal Market (a “</w:t>
            </w:r>
            <w:r>
              <w:rPr>
                <w:b/>
              </w:rPr>
              <w:t>Holiday</w:t>
            </w:r>
            <w:r>
              <w:rPr/>
              <w:t>”), the next date that is not a Holiday, provided, however, that the Expiration Date shall be accelerated to the date of closing of an Exit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w:t>
            </w:r>
            <w:r>
              <w:rPr>
                <w:b/>
              </w:rPr>
              <w:t>Exit Transaction</w:t>
            </w:r>
            <w:r>
              <w:rPr/>
              <w:t>” means a share purchase, merger or other business combination (including, without limitation, a reorganization, recapitalization, spin-off or scheme of arrangement) with any other Person(s) whereby (i) such other Person(s) acquire (or otherwise becomes the holder, directly or indirectly, of) more than 80% of the outstanding shares of Voting Stock of the Company (not including any shares of Voting Stock of the Company held by the other Person(s) or other Person(s) making or party to, or associated or affiliated with the other Person(s) making or party to, such transaction) and (ii) the Company ceases to be a public company for purposes of the Israeli Companies Law, 1999.</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283"/>
              <w:jc w:val="both"/>
              <w:rPr/>
            </w:pPr>
            <w:r>
              <w:rPr/>
              <w:t>“</w:t>
            </w:r>
            <w:r>
              <w:rPr>
                <w:b/>
              </w:rPr>
              <w:t>Options</w:t>
            </w:r>
            <w:r>
              <w:rPr/>
              <w:t>” means any rights, warrants or options to subscribe for or purchase Ordinary Shares or Convertible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t>“</w:t>
            </w:r>
            <w:r>
              <w:rPr>
                <w:b/>
              </w:rPr>
              <w:t>Ordinary Shares</w:t>
            </w:r>
            <w:r>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(g)</w:t>
            </w:r>
          </w:p>
        </w:tc>
        <w:tc>
          <w:tcPr>
            <w:tcW w:w="9920" w:type="dxa"/>
            <w:tcBorders/>
            <w:vAlign w:val="center"/>
          </w:tcPr>
          <w:p>
            <w:pPr>
              <w:pStyle w:val="TableContents"/>
              <w:bidi w:val="0"/>
              <w:spacing w:before="0" w:after="283"/>
              <w:jc w:val="both"/>
              <w:rPr/>
            </w:pPr>
            <w:r>
              <w:rPr/>
              <w:t>“</w:t>
            </w:r>
            <w:r>
              <w:rPr>
                <w:b/>
              </w:rPr>
              <w:t>Person</w:t>
            </w:r>
            <w:r>
              <w:rPr/>
              <w:t>” means an individual, a limited liability company, a partnership, a joint venture, a corporation, a trust, an unincorporated organization, any other entity or a government or any department or agency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2" w:type="dxa"/>
            <w:tcBorders/>
            <w:vAlign w:val="center"/>
          </w:tcPr>
          <w:p>
            <w:pPr>
              <w:pStyle w:val="TableContents"/>
              <w:bidi w:val="0"/>
              <w:spacing w:before="0" w:after="283"/>
              <w:jc w:val="both"/>
              <w:rPr/>
            </w:pPr>
            <w:r>
              <w:rPr/>
              <w:t>“</w:t>
            </w:r>
            <w:r>
              <w:rPr>
                <w:b/>
              </w:rPr>
              <w:t>Principal Market</w:t>
            </w:r>
            <w:r>
              <w:rPr/>
              <w:t>” means the Nasdaq Stock Market or, if such market is not the principal trading market for the Ordinary Shares, then on the principal securities exchange or securities market on which the Ordinary Shares is then traded.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w:t>
            </w:r>
            <w:r>
              <w:rPr>
                <w:b/>
              </w:rPr>
              <w:t>Trading Day</w:t>
            </w:r>
            <w:r>
              <w:rPr/>
              <w:t>” means, as applicable, (x) with respect to all price determinations relating to the Ordinary Shares, any day on which the Ordinary Shares is traded on the Principal Market, provided that “Trading Day” shall not include any day on which the Ordinary Shares are scheduled to trade on such exchange or market for less than 4.5 hours or any day that the Ordinary Shares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(j)</w:t>
            </w:r>
          </w:p>
        </w:tc>
        <w:tc>
          <w:tcPr>
            <w:tcW w:w="9998" w:type="dxa"/>
            <w:tcBorders/>
            <w:vAlign w:val="center"/>
          </w:tcPr>
          <w:p>
            <w:pPr>
              <w:pStyle w:val="TableContents"/>
              <w:bidi w:val="0"/>
              <w:spacing w:before="0" w:after="283"/>
              <w:jc w:val="both"/>
              <w:rPr/>
            </w:pPr>
            <w:r>
              <w:rPr/>
              <w:t>“</w:t>
            </w:r>
            <w:r>
              <w:rPr>
                <w:b/>
              </w:rPr>
              <w:t>Voting Stock</w:t>
            </w:r>
            <w:r>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Company has caused this Warrant to Purchase Ordinary Shares to be duly executed as of the Issuance Date set out above.</w:t>
      </w:r>
    </w:p>
    <w:p>
      <w:pPr>
        <w:pStyle w:val="TextBody"/>
        <w:bidi w:val="0"/>
        <w:spacing w:before="0" w:after="0"/>
        <w:ind w:left="3600" w:right="0" w:hanging="0"/>
        <w:jc w:val="both"/>
        <w:rPr>
          <w:caps/>
        </w:rPr>
      </w:pPr>
      <w:r>
        <w:rPr>
          <w:caps/>
        </w:rPr>
        <w:t> </w:t>
      </w:r>
    </w:p>
    <w:tbl>
      <w:tblPr>
        <w:tblW w:w="2779" w:type="dxa"/>
        <w:jc w:val="left"/>
        <w:tblInd w:w="0" w:type="dxa"/>
        <w:tblLayout w:type="fixed"/>
        <w:tblCellMar>
          <w:top w:w="0" w:type="dxa"/>
          <w:left w:w="0" w:type="dxa"/>
          <w:bottom w:w="0" w:type="dxa"/>
          <w:right w:w="0" w:type="dxa"/>
        </w:tblCellMar>
      </w:tblPr>
      <w:tblGrid>
        <w:gridCol w:w="75"/>
        <w:gridCol w:w="933"/>
        <w:gridCol w:w="1771"/>
      </w:tblGrid>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b/>
                <w:sz w:val="20"/>
              </w:rPr>
            </w:pPr>
            <w:r>
              <w:rPr>
                <w:b/>
                <w:sz w:val="20"/>
              </w:rPr>
              <w:t>HUB CYBER SECURITY LTD.</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By:</w:t>
            </w:r>
          </w:p>
        </w:tc>
        <w:tc>
          <w:tcPr>
            <w:tcW w:w="17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Name:</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Title:</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By:</w:t>
            </w:r>
          </w:p>
        </w:tc>
        <w:tc>
          <w:tcPr>
            <w:tcW w:w="17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Name:</w:t>
            </w:r>
          </w:p>
        </w:tc>
        <w:tc>
          <w:tcPr>
            <w:tcW w:w="17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20"/>
              </w:rPr>
            </w:pPr>
            <w:r>
              <w:rPr>
                <w:sz w:val="20"/>
              </w:rPr>
              <w:t>Title:</w:t>
            </w:r>
          </w:p>
        </w:tc>
        <w:tc>
          <w:tcPr>
            <w:tcW w:w="1771" w:type="dxa"/>
            <w:tcBorders/>
            <w:vAlign w:val="center"/>
          </w:tcPr>
          <w:p>
            <w:pPr>
              <w:pStyle w:val="TableContents"/>
              <w:bidi w:val="0"/>
              <w:spacing w:before="0" w:after="283"/>
              <w:jc w:val="left"/>
              <w:rPr/>
            </w:pPr>
            <w:r>
              <w:rPr/>
              <w:t> </w:t>
            </w:r>
          </w:p>
        </w:tc>
      </w:tr>
    </w:tbl>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 TO PURCHASE </w:t>
      </w:r>
      <w:r>
        <w:rPr>
          <w:rFonts w:ascii="Times New Roman;Times;Serif" w:hAnsi="Times New Roman;Times;Serif"/>
          <w:b/>
          <w:i w:val="false"/>
          <w:caps/>
          <w:sz w:val="20"/>
        </w:rPr>
        <w:t>Ordinary Shares</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HUB Cyber Security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the attached warrant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hereby exercises the right to purchase in respect of _________________ Ordinary Shares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HUB Cyber Security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undersigned holder hereby represents that the issuance of the Warrant Shares will not cause the undersigned holder’s holdings in the Company’s Ordinary Shares to exceed the Maximum Percentage, as defined in Section 1(c) of the Warrant, based on the number of outstanding Ordinary Shares provided to the holder by the Company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Exercise Price shall be paid (check one): [ ] in cash by wire transfer of immediately available funds; or [ ] by cashless exercise pursuant to Section 1(b)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 __, ______</w:t>
      </w:r>
    </w:p>
    <w:p>
      <w:pPr>
        <w:pStyle w:val="TextBody"/>
        <w:bidi w:val="0"/>
        <w:spacing w:before="0" w:after="0"/>
        <w:ind w:left="0" w:right="0" w:hanging="0"/>
        <w:jc w:val="both"/>
        <w:rPr>
          <w:caps w:val="false"/>
          <w:smallCaps w:val="false"/>
        </w:rPr>
      </w:pPr>
      <w:r>
        <w:rPr>
          <w:caps w:val="false"/>
          <w:smallCaps w:val="false"/>
        </w:rPr>
        <w:t> </w:t>
      </w:r>
    </w:p>
    <w:tbl>
      <w:tblPr>
        <w:tblW w:w="2719" w:type="dxa"/>
        <w:jc w:val="left"/>
        <w:tblInd w:w="0" w:type="dxa"/>
        <w:tblLayout w:type="fixed"/>
        <w:tblCellMar>
          <w:top w:w="28" w:type="dxa"/>
          <w:left w:w="0" w:type="dxa"/>
          <w:bottom w:w="0" w:type="dxa"/>
          <w:right w:w="0" w:type="dxa"/>
        </w:tblCellMar>
      </w:tblPr>
      <w:tblGrid>
        <w:gridCol w:w="922"/>
        <w:gridCol w:w="1577"/>
        <w:gridCol w:w="145"/>
        <w:gridCol w:w="75"/>
      </w:tblGrid>
      <w:tr>
        <w:trPr/>
        <w:tc>
          <w:tcPr>
            <w:tcW w:w="2644" w:type="dxa"/>
            <w:gridSpan w:val="3"/>
            <w:tcBorders>
              <w:top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Registered Holder</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pPr>
            <w:r>
              <w:rPr/>
              <w:t> </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722" w:type="dxa"/>
            <w:gridSpan w:val="2"/>
            <w:tcBorders>
              <w:bottom w:val="single" w:sz="12"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922" w:type="dxa"/>
            <w:tcBorders/>
            <w:tcMar>
              <w:top w:w="0" w:type="dxa"/>
            </w:tcMar>
            <w:vAlign w:val="center"/>
          </w:tcPr>
          <w:p>
            <w:pPr>
              <w:pStyle w:val="TableContents"/>
              <w:bidi w:val="0"/>
              <w:spacing w:before="0" w:after="283"/>
              <w:jc w:val="left"/>
              <w:rPr/>
            </w:pPr>
            <w:r>
              <w:rPr/>
              <w:t> </w:t>
            </w:r>
          </w:p>
        </w:tc>
        <w:tc>
          <w:tcPr>
            <w:tcW w:w="1577" w:type="dxa"/>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4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______________ to issue the above indicated number of Ordinary Shares.</w:t>
      </w:r>
    </w:p>
    <w:p>
      <w:pPr>
        <w:pStyle w:val="TextBody"/>
        <w:bidi w:val="0"/>
        <w:spacing w:before="0" w:after="0"/>
        <w:ind w:left="4320" w:right="0" w:hanging="0"/>
        <w:jc w:val="left"/>
        <w:rPr>
          <w:caps/>
        </w:rPr>
      </w:pPr>
      <w:r>
        <w:rPr>
          <w:caps/>
        </w:rPr>
        <w:t> </w:t>
      </w:r>
    </w:p>
    <w:tbl>
      <w:tblPr>
        <w:tblW w:w="3529" w:type="dxa"/>
        <w:jc w:val="left"/>
        <w:tblInd w:w="0" w:type="dxa"/>
        <w:tblLayout w:type="fixed"/>
        <w:tblCellMar>
          <w:top w:w="0" w:type="dxa"/>
          <w:left w:w="0" w:type="dxa"/>
          <w:bottom w:w="0" w:type="dxa"/>
          <w:right w:w="0" w:type="dxa"/>
        </w:tblCellMar>
      </w:tblPr>
      <w:tblGrid>
        <w:gridCol w:w="75"/>
        <w:gridCol w:w="1109"/>
        <w:gridCol w:w="2077"/>
        <w:gridCol w:w="268"/>
      </w:tblGrid>
      <w:tr>
        <w:trPr/>
        <w:tc>
          <w:tcPr>
            <w:tcW w:w="75"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b/>
                <w:caps/>
              </w:rPr>
            </w:pPr>
            <w:r>
              <w:rPr>
                <w:b/>
                <w:caps/>
              </w:rPr>
              <w:t>HUB Cyber Security Ltd.</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234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15588</Words>
  <Characters>81456</Characters>
  <CharactersWithSpaces>97190</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