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4870-6k_hubcyber.htm"/>
      <w:bookmarkStart w:id="1" w:name="ksea03048706k_hubcyber"/>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SECTION 13A-16 OR 15D-16</w:t>
        <w:b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b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Hacharoshet Street,</w:t>
        <w:br/>
        <w:t>Or Yehuda, Israel</w:t>
        <w:b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Results of Annual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the Company held its 2026 Annual General Meeting of Shareholders (the “Meeting”), at the Company’s offices located at 30 Hacharoshet Street, Or Yehuda, Israel. The proposals on the Meeting’s agenda are described in the Company’s Proxy Statement for the 2026 AGM, which was attached as Exhibit 99.1 to a Report of Foreign Private Issuer on Form 6-K, furnished to the Securities and Exchange Commission, dated August 4, 2026. Proposals 4 through 7 (reverse share split authorization, share capital increase, private placement exercises and auditor reappointment) were approved by the requisite majority of the Company’s shareholders, while Proposals 1 through 3 (redesignation of the class of a director, compensation policy extension and board committee compensation) were not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245" w:type="dxa"/>
        <w:jc w:val="left"/>
        <w:tblInd w:w="0" w:type="dxa"/>
        <w:tblLayout w:type="fixed"/>
        <w:tblCellMar>
          <w:top w:w="0" w:type="dxa"/>
          <w:left w:w="0" w:type="dxa"/>
          <w:bottom w:w="0" w:type="dxa"/>
          <w:right w:w="0" w:type="dxa"/>
        </w:tblCellMar>
      </w:tblPr>
      <w:tblGrid>
        <w:gridCol w:w="2030"/>
        <w:gridCol w:w="320"/>
        <w:gridCol w:w="1895"/>
      </w:tblGrid>
      <w:tr>
        <w:trPr/>
        <w:tc>
          <w:tcPr>
            <w:tcW w:w="2030"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Hub Cyber Security Ltd.</w:t>
            </w:r>
          </w:p>
        </w:tc>
      </w:tr>
      <w:tr>
        <w:trPr/>
        <w:tc>
          <w:tcPr>
            <w:tcW w:w="2030"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8,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Limor Zur-Stoller</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Limor Zur-Stoller</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268</Words>
  <Characters>1471</Characters>
  <CharactersWithSpaces>1755</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