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787-6k_hubcyber.htm"/>
      <w:bookmarkStart w:id="1" w:name="ksea03067876k_hubcyber"/>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6-K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month of September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HUB Cyber Security Ltd.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(Translation of registrant’s name into English)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Hacharoshet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Yehuda,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+972-3-924-4074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Market Value of Listed Securities Deficiency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HUB Cyber Security Ltd. (the “Company”) received a letter from the Listing Qualifications staff of The Nasdaq Stock Market (“Nasdaq”) notifying the Company that, for the prior 30 consecutive business days, the Market Value of Listed Securities (“MVLS”) for the Company was below the $35 million minimum MVLS requirement for continued listing on Nasdaq under Nasdaq Listing Rule 5550(b)(2) (the “MVLS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5810(c)(3)(C), the Company has a compliance period of 180 calendar days, or until March 22, 2027 (the “Compliance Period”), to regain compliance with the MVLS Rule. If at any time during the Compliance Period, the MVLS for the Company is at least $35 million for a minimum of ten consecutive business days, Nasdaq will provide the Company a written confirmation of compliance and this matter will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does not regain compliance with the MLVS Rule during the Compliance Period, Nasdaq will provide written notification that the Company’s securities will be subject to delisting. In the event of such notification, the Nasdaq rules permit the Company an opportunity to appeal Nasdaq’s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options to regain compliance and intends to timely regain compliance with the MVLS Rule. Although the Company will use all reasonable efforts to achieve compliance with the MVLS Rule, there can be no assurance that the Company will be able to regain compliance with the MVLS Rule or will otherwise be in compliance with other Nasdaq continued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the Company issued a press release announcing receipt of the deficiency letter. A copy of this press release is attached to this Report on Form 6-K (this “Report”)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is being furnished and shall not be deemed “filed” for the purposes of Section 18 of the Exchange Act ,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28" w:type="dxa"/>
          <w:right w:w="0" w:type="dxa"/>
        </w:tblCellMar>
      </w:tblPr>
      <w:tblGrid>
        <w:gridCol w:w="995"/>
        <w:gridCol w:w="60"/>
        <w:gridCol w:w="336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33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5" w:type="dxa"/>
            <w:tcBorders/>
            <w:shd w:fill="CCEEFF" w:val="clear"/>
            <w:tcMar>
              <w:bottom w:w="0" w:type="dxa"/>
            </w:tcMar>
            <w:vAlign w:val="center"/>
          </w:tcPr>
          <w:p>
            <w:pPr>
              <w:pStyle w:val="TableContents"/>
              <w:bidi w:val="0"/>
              <w:spacing w:before="0" w:after="283"/>
              <w:jc w:val="left"/>
              <w:rPr/>
            </w:pPr>
            <w:hyperlink w:anchor="ea030678701ex99-1.htm">
              <w:r>
                <w:rPr>
                  <w:rStyle w:val="InternetLink"/>
                  <w:rFonts w:ascii="Times New Roman;Times;Serif" w:hAnsi="Times New Roman;Times;Serif"/>
                  <w:sz w:val="20"/>
                </w:rPr>
                <w:t xml:space="preserve">Press Release dated September 25, 2026.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2135"/>
        <w:gridCol w:w="320"/>
        <w:gridCol w:w="1895"/>
      </w:tblGrid>
      <w:tr>
        <w:trPr/>
        <w:tc>
          <w:tcPr>
            <w:tcW w:w="2135" w:type="dxa"/>
            <w:tcBorders/>
            <w:vAlign w:val="center"/>
          </w:tcPr>
          <w:p>
            <w:pPr>
              <w:pStyle w:val="TableContents"/>
              <w:bidi w:val="0"/>
              <w:spacing w:before="0" w:after="283"/>
              <w:ind w:left="0" w:right="0" w:hanging="0"/>
              <w:jc w:val="left"/>
              <w:rPr>
                <w:sz w:val="4"/>
                <w:szCs w:val="4"/>
              </w:rPr>
            </w:pPr>
            <w:r>
              <w:rPr>
                <w:sz w:val="4"/>
                <w:szCs w:val="4"/>
              </w:rPr>
            </w:r>
          </w:p>
        </w:tc>
        <w:tc>
          <w:tcPr>
            <w:tcW w:w="22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HUB Cyber Security Ltd.</w:t>
            </w:r>
          </w:p>
        </w:tc>
      </w:tr>
      <w:tr>
        <w:trPr/>
        <w:tc>
          <w:tcPr>
            <w:tcW w:w="2135" w:type="dxa"/>
            <w:tcBorders/>
            <w:vAlign w:val="center"/>
          </w:tcPr>
          <w:p>
            <w:pPr>
              <w:pStyle w:val="TableContents"/>
              <w:bidi w:val="0"/>
              <w:spacing w:before="0" w:after="283"/>
              <w:jc w:val="center"/>
              <w:rPr/>
            </w:pPr>
            <w:r>
              <w:rPr/>
              <w:t> </w:t>
            </w:r>
          </w:p>
        </w:tc>
        <w:tc>
          <w:tcPr>
            <w:tcW w:w="2215" w:type="dxa"/>
            <w:gridSpan w:val="2"/>
            <w:tcBorders/>
            <w:vAlign w:val="center"/>
          </w:tcPr>
          <w:p>
            <w:pPr>
              <w:pStyle w:val="TableContents"/>
              <w:bidi w:val="0"/>
              <w:spacing w:before="0" w:after="283"/>
              <w:jc w:val="center"/>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28, 2026</w:t>
            </w:r>
          </w:p>
        </w:tc>
        <w:tc>
          <w:tcPr>
            <w:tcW w:w="3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Limor Zur-Stoller</w:t>
            </w:r>
          </w:p>
        </w:tc>
      </w:tr>
      <w:tr>
        <w:trPr/>
        <w:tc>
          <w:tcPr>
            <w:tcW w:w="2135" w:type="dxa"/>
            <w:tcBorders/>
            <w:vAlign w:val="center"/>
          </w:tcPr>
          <w:p>
            <w:pPr>
              <w:pStyle w:val="TableContents"/>
              <w:bidi w:val="0"/>
              <w:spacing w:before="0" w:after="283"/>
              <w:jc w:val="center"/>
              <w:rPr/>
            </w:pPr>
            <w:r>
              <w:rPr/>
              <w:t> </w:t>
            </w:r>
          </w:p>
        </w:tc>
        <w:tc>
          <w:tcPr>
            <w:tcW w:w="32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Limor Zur-Stoller</w:t>
            </w:r>
          </w:p>
        </w:tc>
      </w:tr>
      <w:tr>
        <w:trPr/>
        <w:tc>
          <w:tcPr>
            <w:tcW w:w="2135" w:type="dxa"/>
            <w:tcBorders/>
            <w:vAlign w:val="center"/>
          </w:tcPr>
          <w:p>
            <w:pPr>
              <w:pStyle w:val="TableContents"/>
              <w:bidi w:val="0"/>
              <w:spacing w:before="0" w:after="283"/>
              <w:jc w:val="center"/>
              <w:rPr/>
            </w:pPr>
            <w:r>
              <w:rPr/>
              <w:t> </w:t>
            </w:r>
          </w:p>
        </w:tc>
        <w:tc>
          <w:tcPr>
            <w:tcW w:w="32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78701ex99-1.htm"/>
      <w:bookmarkStart w:id="3" w:name="ksea0306787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Announces Receipt of Nasdaq Notification Regarding Market Value of Listed Securities Requirement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Tel Aviv, Israel </w:t>
      </w:r>
      <w:r>
        <w:rPr>
          <w:rFonts w:ascii="Times New Roman;Times;Serif" w:hAnsi="Times New Roman;Times;Serif"/>
          <w:b w:val="false"/>
          <w:i w:val="false"/>
          <w:caps w:val="false"/>
          <w:smallCaps w:val="false"/>
          <w:sz w:val="20"/>
        </w:rPr>
        <w:t xml:space="preserve">– September 25, 2026 – </w:t>
      </w:r>
      <w:r>
        <w:rPr>
          <w:rFonts w:ascii="Times New Roman;Times;Serif" w:hAnsi="Times New Roman;Times;Serif"/>
          <w:b/>
          <w:i w:val="false"/>
          <w:caps w:val="false"/>
          <w:smallCaps w:val="false"/>
          <w:sz w:val="20"/>
        </w:rPr>
        <w:t xml:space="preserve">HUB Cyber Security Ltd. </w:t>
      </w:r>
      <w:r>
        <w:rPr>
          <w:rFonts w:ascii="Times New Roman;Times;Serif" w:hAnsi="Times New Roman;Times;Serif"/>
          <w:b w:val="false"/>
          <w:i w:val="false"/>
          <w:caps w:val="false"/>
          <w:smallCaps w:val="false"/>
          <w:sz w:val="20"/>
        </w:rPr>
        <w:t>(Nasdaq: HUBC) (“</w:t>
      </w:r>
      <w:r>
        <w:rPr>
          <w:rFonts w:ascii="Times New Roman;Times;Serif" w:hAnsi="Times New Roman;Times;Serif"/>
          <w:b/>
          <w:i w:val="false"/>
          <w:caps w:val="false"/>
          <w:smallCaps w:val="false"/>
          <w:sz w:val="20"/>
        </w:rPr>
        <w:t>HUB</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today announced that on September 23, 2026 it received a letter from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notifying the Company that it is currently not in compliance with Nasdaq Listing Rule 5550(b)(2), which requires the Company to maintain a minimum Market Value of Listed Securities of US$35 million (“</w:t>
      </w:r>
      <w:r>
        <w:rPr>
          <w:rFonts w:ascii="Times New Roman;Times;Serif" w:hAnsi="Times New Roman;Times;Serif"/>
          <w:b/>
          <w:i w:val="false"/>
          <w:caps w:val="false"/>
          <w:smallCaps w:val="false"/>
          <w:sz w:val="20"/>
        </w:rPr>
        <w:t>MVLS</w:t>
      </w:r>
      <w:r>
        <w:rPr>
          <w:rFonts w:ascii="Times New Roman;Times;Serif" w:hAnsi="Times New Roman;Times;Serif"/>
          <w:b w:val="false"/>
          <w:i w:val="false"/>
          <w:caps w:val="false"/>
          <w:smallCaps w:val="false"/>
          <w:sz w:val="20"/>
        </w:rPr>
        <w:t>”) for continued listing on The Nasdaq Capital Market (the “</w:t>
      </w:r>
      <w:r>
        <w:rPr>
          <w:rFonts w:ascii="Times New Roman;Times;Serif" w:hAnsi="Times New Roman;Times;Serif"/>
          <w:b/>
          <w:i w:val="false"/>
          <w:caps w:val="false"/>
          <w:smallCaps w:val="false"/>
          <w:sz w:val="20"/>
        </w:rPr>
        <w:t>MVLS Requirement</w:t>
      </w:r>
      <w:r>
        <w:rPr>
          <w:rFonts w:ascii="Times New Roman;Times;Serif" w:hAnsi="Times New Roman;Times;Serif"/>
          <w:b w:val="false"/>
          <w:i w:val="false"/>
          <w:caps w:val="false"/>
          <w:smallCaps w:val="false"/>
          <w:sz w:val="20"/>
        </w:rPr>
        <w:t>”). This press release is issued pursuant to Nasdaq Listing Rule 5810(b), which requires prompt disclosure of receipt of a deficiency notification. The notification has no immediate effect on the listing of the Company’s ordinary shares, which will continue to trade uninterrupted on Nasdaq under the ticker “HUBC.”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5810(c)(3)(C), the Company has a compliance period of 180 calendar days, or until March 22, 2027 (the “</w:t>
      </w:r>
      <w:r>
        <w:rPr>
          <w:rFonts w:ascii="Times New Roman;Times;Serif" w:hAnsi="Times New Roman;Times;Serif"/>
          <w:b/>
          <w:i w:val="false"/>
          <w:caps w:val="false"/>
          <w:smallCaps w:val="false"/>
          <w:sz w:val="20"/>
        </w:rPr>
        <w:t>Compliance Period</w:t>
      </w:r>
      <w:r>
        <w:rPr>
          <w:rFonts w:ascii="Times New Roman;Times;Serif" w:hAnsi="Times New Roman;Times;Serif"/>
          <w:b w:val="false"/>
          <w:i w:val="false"/>
          <w:caps w:val="false"/>
          <w:smallCaps w:val="false"/>
          <w:sz w:val="20"/>
        </w:rPr>
        <w:t>”), to regain compliance with Nasdaq’s MVLS Requirement. If at any time during the Compliance Period, the Company’s MVLS closes at US$35 million or more for a minimum of 10 consecutive business days, Nasdaq will provide the Company written confirmation of compliance, and the matter will be closed. If the Company fails to regain compliance within the Compliance Period, the Company will receive written notification that its securities are subject to delisting, and it would have the right to a hearing before an independent panel pursuant to the procedures set forth in the applicable Nasdaq Listing Rules. The hearing request would stay any suspension or delisting action pending the conclusion of the hearing process. However, there can be no assurance, if the Company does appeal the delisting determination by Nasdaq to the hearings panel, that such appeal would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take all reasonable measures available to regain compliance with MVLS Requirement under the Nasdaq Listing Rules and to remain listed on Nasdaq. However, there can be no assurances that the Company would ultimately be able to regain compliance with all applicable requirements for continued listing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HUB Cyber Security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HUB Cyber Security Ltd. (Nasdaq: HUBC) </w:t>
      </w:r>
      <w:r>
        <w:rPr>
          <w:rFonts w:ascii="Times New Roman;Times;Serif" w:hAnsi="Times New Roman;Times;Serif"/>
          <w:b w:val="false"/>
          <w:i w:val="false"/>
          <w:caps w:val="false"/>
          <w:smallCaps w:val="false"/>
          <w:sz w:val="20"/>
        </w:rPr>
        <w:t>has operated in confidential computing, AI-driven data fabric, and cybersecurity. HUB’s Secured Data Fabric has historically empowered organizations to virtualize, secure, and analyze sensitive data across borders and silos generating real-time intelligence while meeting the highest regulatory standards. HUB is currently implementing a comprehensive restructuring, during which its Board of Directors and management team have taken steps to improve liquidity, simplify the Company’s organizational structure, cut operating costs and strengthen corporate governance. The Board of Directors continues to explore various strategic alternatives intended to maximize value for shareholders and position HUB for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for purposes of the safe harbor provisions under the United States Private Securities Litigation Reform Act of 1995.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are based on the current expectations of the management of HUB Security,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the HUB Security and the following: (i) the ability to meet stock exchange continued listing standards and remain listed on the Nasdaq; (ii) significant uncertainty regarding the adequacy of HUB’s liquidity and capital resources and its ability to repay its obligations as they become due; (iii) expectations regarding HUB’s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HUB’s ability to invest in growth initiatives and pursue acquisition opportunities; (iv) the outcome of any legal or regulatory proceedings against HUB in connection with our previously announced internal investigation or otherwise; (v) competition, the ability of HUB to grow and manage growth profitably, maintain relationships with customers and suppliers and retain its management and key employees; (vi) limited liquidity and trading of HUB’s securities; (vii) geopolitical risk, including military action and related sanctions, and changes in applicable laws or regulations; (viii) the possibility that HUB may be adversely affected by other economic, business, and/or competitive factors; and (ix) other risks and uncertainties set forth in the sections entitled “Risk Factors” and “Cautionary Statement Regarding Forward-Looking Statements” in HUB’s Annual Report on Form 20-F filed on July 17, 2026. Should one or more of these risks or uncertainties materialize or should any of the assumptions made by the management of HUB prove incorrect, actual results may vary in material respects from those expressed or implied in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by the management of HUB Security prove incorrect, actual results may vary in material respects from those expressed or implied in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written and oral forward-looking statements concerning the business combination or other matters addressed in this press release and attributable to HUB Security or any person acting on their behalf are expressly qualified in their entirety by the cautionary statements contained or referred to in the press release. Except to the extent required by applicable law or regulation, HUB Security undertakes no obligation to update these forward-looking statements to reflect events or circumstances after the date of this press release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1572</Words>
  <Characters>8899</Characters>
  <CharactersWithSpaces>10497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