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13, 2024.</w:t>
      </w:r>
    </w:p>
    <w:p>
      <w:pPr>
        <w:spacing w:after="0" w:line="31"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State of Israel</w:t>
            </w:r>
          </w:p>
        </w:tc>
        <w:tc>
          <w:tcPr>
            <w:tcW w:w="57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3576</w:t>
            </w:r>
          </w:p>
        </w:tc>
      </w:tr>
      <w:tr>
        <w:trPr>
          <w:trHeight w:val="198"/>
        </w:trPr>
        <w:tc>
          <w:tcPr>
            <w:tcW w:w="5520" w:type="dxa"/>
            <w:vAlign w:val="bottom"/>
            <w:tcBorders>
              <w:top w:val="single" w:sz="8" w:color="auto"/>
            </w:tcBorders>
          </w:tcPr>
          <w:p>
            <w:pPr>
              <w:ind w:left="17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r>
      <w:tr>
        <w:trPr>
          <w:trHeight w:val="234"/>
        </w:trPr>
        <w:tc>
          <w:tcPr>
            <w:tcW w:w="5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Classification Code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Kaplan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Aviv, Israel 6473403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 (3) 791-3200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Library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Newark, Delaware 19711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 738-6680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39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i w:val="1"/>
                <w:iCs w:val="1"/>
                <w:color w:val="auto"/>
              </w:rPr>
              <w:t>Copies of all correspondence to:</w:t>
            </w:r>
          </w:p>
        </w:tc>
        <w:tc>
          <w:tcPr>
            <w:tcW w:w="3160" w:type="dxa"/>
            <w:vAlign w:val="bottom"/>
          </w:tcPr>
          <w:p>
            <w:pPr>
              <w:spacing w:after="0"/>
              <w:rPr>
                <w:sz w:val="20"/>
                <w:szCs w:val="20"/>
                <w:color w:val="auto"/>
              </w:rPr>
            </w:pPr>
          </w:p>
        </w:tc>
      </w:tr>
      <w:tr>
        <w:trPr>
          <w:trHeight w:val="410"/>
        </w:trPr>
        <w:tc>
          <w:tcPr>
            <w:tcW w:w="27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Gary Emmanuel</w:t>
            </w:r>
          </w:p>
        </w:tc>
        <w:tc>
          <w:tcPr>
            <w:tcW w:w="39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Osher Partok-Rheinisch</w:t>
            </w:r>
          </w:p>
        </w:tc>
        <w:tc>
          <w:tcPr>
            <w:tcW w:w="31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Adam M. Klein</w:t>
            </w:r>
          </w:p>
        </w:tc>
      </w:tr>
      <w:tr>
        <w:trPr>
          <w:trHeight w:val="216"/>
        </w:trPr>
        <w:tc>
          <w:tcPr>
            <w:tcW w:w="27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David Huberman</w:t>
            </w:r>
          </w:p>
        </w:tc>
        <w:tc>
          <w:tcPr>
            <w:tcW w:w="39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HUB Cyber Security Ltd.</w:t>
            </w:r>
          </w:p>
        </w:tc>
        <w:tc>
          <w:tcPr>
            <w:tcW w:w="31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Daniel P. Kahn</w:t>
            </w:r>
          </w:p>
        </w:tc>
      </w:tr>
      <w:tr>
        <w:trPr>
          <w:trHeight w:val="216"/>
        </w:trPr>
        <w:tc>
          <w:tcPr>
            <w:tcW w:w="27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Thomas Martin</w:t>
            </w:r>
          </w:p>
        </w:tc>
        <w:tc>
          <w:tcPr>
            <w:tcW w:w="39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 Kaplan Street</w:t>
            </w:r>
          </w:p>
        </w:tc>
        <w:tc>
          <w:tcPr>
            <w:tcW w:w="31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Goldfarb Gross Seligman &amp; Co.</w:t>
            </w:r>
          </w:p>
        </w:tc>
      </w:tr>
      <w:tr>
        <w:trPr>
          <w:trHeight w:val="216"/>
        </w:trPr>
        <w:tc>
          <w:tcPr>
            <w:tcW w:w="27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Adam Namoury</w:t>
            </w:r>
          </w:p>
        </w:tc>
        <w:tc>
          <w:tcPr>
            <w:tcW w:w="39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Tel Aviv, Israel 6473403</w:t>
            </w:r>
          </w:p>
        </w:tc>
        <w:tc>
          <w:tcPr>
            <w:tcW w:w="31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One Azrieli Center</w:t>
            </w:r>
          </w:p>
        </w:tc>
      </w:tr>
      <w:tr>
        <w:trPr>
          <w:trHeight w:val="216"/>
        </w:trPr>
        <w:tc>
          <w:tcPr>
            <w:tcW w:w="27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Greenberg Traurig, LLP</w:t>
            </w:r>
          </w:p>
        </w:tc>
        <w:tc>
          <w:tcPr>
            <w:tcW w:w="39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Tel: +972 (3) 924-4074</w:t>
            </w:r>
          </w:p>
        </w:tc>
        <w:tc>
          <w:tcPr>
            <w:tcW w:w="31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Tel Aviv 6702100, Israel</w:t>
            </w:r>
          </w:p>
        </w:tc>
      </w:tr>
      <w:tr>
        <w:trPr>
          <w:trHeight w:val="216"/>
        </w:trPr>
        <w:tc>
          <w:tcPr>
            <w:tcW w:w="2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One Vanderbilt Avenue</w:t>
            </w:r>
          </w:p>
        </w:tc>
        <w:tc>
          <w:tcPr>
            <w:tcW w:w="3920" w:type="dxa"/>
            <w:vAlign w:val="bottom"/>
          </w:tcPr>
          <w:p>
            <w:pPr>
              <w:spacing w:after="0"/>
              <w:rPr>
                <w:sz w:val="18"/>
                <w:szCs w:val="18"/>
                <w:color w:val="auto"/>
              </w:rPr>
            </w:pPr>
          </w:p>
        </w:tc>
        <w:tc>
          <w:tcPr>
            <w:tcW w:w="31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Tel: +972 (3) 607-4444</w:t>
            </w:r>
          </w:p>
        </w:tc>
      </w:tr>
      <w:tr>
        <w:trPr>
          <w:trHeight w:val="216"/>
        </w:trPr>
        <w:tc>
          <w:tcPr>
            <w:tcW w:w="27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New York, NY 10017</w:t>
            </w:r>
          </w:p>
        </w:tc>
        <w:tc>
          <w:tcPr>
            <w:tcW w:w="392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38"/>
        </w:trPr>
        <w:tc>
          <w:tcPr>
            <w:tcW w:w="27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7"/>
              </w:rPr>
              <w:t>Tel: 212-801-9200</w:t>
            </w:r>
          </w:p>
        </w:tc>
        <w:tc>
          <w:tcPr>
            <w:tcW w:w="3920" w:type="dxa"/>
            <w:vAlign w:val="bottom"/>
          </w:tcPr>
          <w:p>
            <w:pPr>
              <w:spacing w:after="0"/>
              <w:rPr>
                <w:sz w:val="20"/>
                <w:szCs w:val="20"/>
                <w:color w:val="auto"/>
              </w:rPr>
            </w:pPr>
          </w:p>
        </w:tc>
        <w:tc>
          <w:tcPr>
            <w:tcW w:w="3160" w:type="dxa"/>
            <w:vAlign w:val="bottom"/>
          </w:tcPr>
          <w:p>
            <w:pPr>
              <w:spacing w:after="0"/>
              <w:rPr>
                <w:sz w:val="20"/>
                <w:szCs w:val="20"/>
                <w:color w:val="auto"/>
              </w:rPr>
            </w:pPr>
          </w:p>
        </w:tc>
      </w:tr>
    </w:tbl>
    <w:p>
      <w:pPr>
        <w:spacing w:after="0" w:line="1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of the securities to the public</w:t>
      </w:r>
      <w:r>
        <w:rPr>
          <w:rFonts w:ascii="Times New Roman" w:cs="Times New Roman" w:eastAsia="Times New Roman" w:hAnsi="Times New Roman"/>
          <w:sz w:val="18"/>
          <w:szCs w:val="18"/>
          <w:color w:val="auto"/>
        </w:rPr>
        <w:t>:</w:t>
      </w:r>
    </w:p>
    <w:p>
      <w:pPr>
        <w:spacing w:after="0" w:line="229"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(B) of the Securities Act. </w:t>
      </w:r>
      <w:r>
        <w:rPr>
          <w:rFonts w:ascii="MS PGothic" w:cs="MS PGothic" w:eastAsia="MS PGothic" w:hAnsi="MS PGothic"/>
          <w:sz w:val="18"/>
          <w:szCs w:val="18"/>
          <w:color w:val="auto"/>
        </w:rPr>
        <w:t>☐</w:t>
      </w:r>
    </w:p>
    <w:p>
      <w:pPr>
        <w:spacing w:after="0" w:line="208"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ind w:left="20" w:right="20"/>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HUB Cyber Security Ltd. and the selling securityholders may not sell these securities until the registration statement filed with the Securities and Exchange Commission is effective. This preliminary prospectus is neither an offer to sell these securities, nor a solicitation of an offer to buy these securities, in any state or jurisdiction where the offer or sale is not permitted. Any representation to the contrary is a criminal offense.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PROSPECTUS — SUBJECT TO COMPLETION DATED SEPTEMBER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156845</wp:posOffset>
            </wp:positionV>
            <wp:extent cx="951230" cy="951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1,891,847 ORDINARY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49,253,117 ORDINARY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11,687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relates to the issuance from time to time by HUB Cyber Security Ltd., a company organized under the laws of the State of Israel (“we,” “our,” the “Company” or “HUB Security”) of up to 1,891,847 ordinary shares, no par value (the “ordinary shares”), including (a) 1,163,085 ordinary shares issuable upon the exercise of 15,507,801 warrants of the Company that were issued in exchange for the public warrants of Mount Rainier Acquisition Corp., a Delaware corporation (“RNER”) (the “Public Warrants”), at the closing of the Business Combination Agreement (as defined herein);</w:t>
      </w:r>
    </w:p>
    <w:p>
      <w:pPr>
        <w:spacing w:after="0" w:line="3" w:lineRule="exact"/>
        <w:rPr>
          <w:sz w:val="20"/>
          <w:szCs w:val="20"/>
          <w:color w:val="auto"/>
        </w:rPr>
      </w:pPr>
    </w:p>
    <w:p>
      <w:pPr>
        <w:jc w:val="both"/>
        <w:ind w:firstLine="8"/>
        <w:spacing w:after="0" w:line="253" w:lineRule="auto"/>
        <w:tabs>
          <w:tab w:leader="none" w:pos="27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40,199 ordinary shares issuable upon the exercise of 535,984 warrants that were issued in exchange for the private warrants of RNER (the “Private Warrants” and, together with the Public Warrants, the “SPAC Warrants”) at the closing of the Business Combination Agreement; and (c) 688,563 ordinary shares issuable upon the exercise of warrants that were issued as part of an offering we conducted in Israel to institutional investors greater than one year prior to the closing of the Business Combination Agreement (the “Prior Warrants”).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public warrants of RNER were originally issued in the initial public offering of units of RNER at a price of $100.00 per unit, with each unit consisting of one share of common stock of RNER (the “RNER Shares”) and a warrant to purchase 0.075 of a RNER Share. The private warrants of RNER were originally issued as part of a private placement of units of RNER in connection with the initial public offering of RNER at a price of $100.00 per unit, with each unit consisting of one RNER Share and a warrant to purchase 0.075 of a RNER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This prospectus also relates to the resale, from time to time, by the selling securityholders named herein (the “Selling Securityholders”), or their pledgees, donees, transferees, or other successors in interest, of the following: (a) 31,194 ordinary shares issued at the closing of the Business Combination Agreement in exchange for RNER shares of common stock held by a director and officer of RNER prior to the Business Combination Agreement, which was initially purchased in a private placement prior to the initial public offering of RNER; (b) up to 878 ordinary shares that are issuable upon the exercise of 11,687 Private Warrants (which were originally issued as part of units in a private placement as part of the initial public offering of RNER at a price of $100.00 per unit) at an exercise price of $127.90 per whole ordinary share by certain of the Selling Securityholders named in this prospectus; (c) up to 11,687 Private Warrants that were issued in exchange for warrants originally issued as part of units issued by RNER at a price of $100.00 per unit (with each unit consisting of one RNER Share and one warrant to purchase 0.075 of a RNER Share) by certain of the Selling Securityholders named in this prospectus; (d) up to 892,857 ordinary shares issuable upon exercise of warrants (the “Lind Warrants”) issued to an investor named as a Selling Securityholder in this prospectus pursuant to the Lind Financing, as defined below; (e) up to 22,453,334 ordinary shares issuable upon conversion of principal and accrued interest under convertible notes (the “March-June 2024 Convertible Notes”) issued to an investor named as a Selling Securityholder in this prospectus in the March-June 2024 Financing Transaction, as defined below, assuming a conversion price of $0.50 and maximum accrued interest through September 24, 2024; (f) up to 11,444,444 ordinary shares issuable upon exercise of warrants issued to an investor that is named as a Selling Securityholder in this prospectus in the March-June 2024 Financing Transaction (the “March-June 2024 Warrants”); (g) up to 8,046,500 ordinary shares issuable upon conversion of principal under convertible notes (the “August 2024 Convertible Notes”, and together with the March-June 2024 Convertible Notes, the “Convertible Notes”) issued to certain investors that are named as Selling Securityholders in this prospectus in the August 2024 Financing Transaction, as defined below, assuming a conversion price of $0.50; (h) up to 4,750,005 ordinary shares issuable upon exercise of warrants issued to certain of the Selling Securityholders named in this prospectus in the August 2024 Financing Transaction (the “August 2024 Warrants”); (i) up to 1,108,332 ordinary shares issuable upon exercise of warrants issued to the placement agent in the August 2024 Financing Transaction (the “Placement Agent Warrant” and together with the August 2024 Warrants, March-June 2024 Warrants, Lind Warrants, Public Warrants, Private Warrants, and Prior Warrants, the “Warrants”); (j) up to 454,545 ordinary shares issued to a consultant that is named as a Selling Securityholder in this prospectus; and (k) up to 71,028 ordinary shares issued to an investor that is named as a Selling Securityholder in this prospectus.</w:t>
      </w:r>
    </w:p>
    <w:p>
      <w:pPr>
        <w:spacing w:after="0" w:line="2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Lind Financing, March-June 2024 Financing Transaction and the August 2024 Financing Transaction is provided in the section entitled “Prospectus Summary—Recent Transactions” of this prospectus.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of the Public Warrants entitles the holder to purchase 0.075 of an ordinary share at an exercise price of $127.90 per whole and will expire on February 28, 2028, at 5:00 p.m., New York City time, or earlier upon redemption of the Public Warrants or liquidation of the Company. We may redeem the outstanding Public Warrants at a price of $0.10 per warrant if the last reported sales price of our ordinary shares equals or exceeds $180.00 per ordinary share (subject to adjustment in accordance with the terms of the public warrants) for any 20 trading days within a 30-trading day period ending on the third trading day prior to the date on which we send the notice of redemption to the warrant holders, as described herein. The Private Warrants have terms and provisions that are identical to those of the Public Warrants, except as described herein.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Prior Warrants were originally issued in Israel in February 2022 to institutional investors in Israel as part of an offering not registered under the Securities Act of 1933 whereby we offered to investors 6,885,632 units (on a pre-split basis) consisting of one ordinary share and one warrant to purchase an ordinary share at a purchase price of NIS 6.78 ($2.10) per unit (on a pre-split basis) and have an exercise price of $20.30 per ordinary share. The Prior Warrants are exercisable until August 22, 2025 at 5:00 p.m., New York City time.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Lind Warrants entitles the holder to purchase one ordinary share at an exercise price equal to $3.50 until August 24, 2028.</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March-June 2024 Warrant entitles the holder to purchase one ordinary share. The warrants issued in the March-June 2024 Financing Transaction are exercisable as follows: (i) March-June 2024 Warrants exercisable into 4,444,444 ordinary shares are exercisable at an exercise price equal to $0.70 per share until March 12, 2027, (ii) March-June 2024 Warrants exercisable into 4,000,000 ordinary shares are exercisable at an exercise price equal to $0.70 per share until April 3, 2027, (iii) March-June 2024 Warrants exercisable into 1,000,000 ordinary shares are exercisable at an exercise price equal to $0.50 per share until June 26, 2027 and (iv) March-June 2024 Warrants exercisable into 2,000,000 ordinary shares are exercisable at an exercise price equal to $0.70 per share until June 26,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August 2024 Warrant and the Placement Agent Warrant entitles the holder to purchase one ordinary share. Each warrant issued in the August 2024 Financing Transaction is exercisable at an exercise price equal to $1.00 per share until August 18, 2027, provided that in the event that the conversion price of the August 2024 Notes is reduced, the exercise price of such warrants will be reduced proportionately.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registering the Offered Shares for resale by the Selling Securityholders named in this prospectus, or their transferees, pledgees, donees or assignees or other successors-in-interest that receive any of the shares as a gift, distribution, or other non-sale related transfer.</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Offered Shares. The Selling Securityholders may offer and sell the Offered Shares from time to time at fixed prices, at market prices or at negotiated prices, and may engage a broker, dealer or underwriter to sell the securities. In connection with any sales of the Offered Shares offered hereunder, the Selling Securityholders, any underwriters, agents, brokers or dealers participating in such sales may be deemed to be “underwriters” within the meaning of the Securities Act. For additional information on the possible methods of sale that may be used by the Selling Securityholders,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elsewhere in this prospectus. We do not know when or in what amounts the Selling Securityholders may offer the securities for sale. The Selling Securityholders may sell any, all or none of the Offered Shares offered by this prospectus.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of the Offered Shares offered by the Selling Securityholders pursuant to this prospectus will be sold by the Selling Securityholders for their respective accounts. We will not receive any proceeds from the sale of any Offered Shares by the Selling Securityholders. We will receive up to an aggregate of approximately $40.6 million from the exercise of the Warrants, assuming the exercise in full of all the Warrants for cash at the lowest exercise price. If the Warrants are exercised pursuant to a cashless exercise feature, if applicable, we will not receive any cash from these exercises. We expect to use the net proceeds from the exercise of the Warrants, if any, for general corporate purposes. We believe the likelihood that Warrant holders will exercise their warrants, and therefore the amount of cash proceeds that we would receive, is dependent upon the market price of our ordinary shares. If the market price for our ordinary shares is less than the respective exercise prices of the Warrants, we believe Warrant holders will be unlikely to exercise their Warrants.</w:t>
      </w:r>
    </w:p>
    <w:p>
      <w:pPr>
        <w:spacing w:after="0" w:line="19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We will pay certain expenses associated with the registration of the securities covered by this prospectus, as described in the section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ordinary shares, SPAC Warrants and Prior Warrants are listed on the Nasdaq Stock Market LLC under the trading symbols “HUBC,” “HUBCW” and “HUBCZ,” respectively. On September 12, 2024, the closing prices for our ordinary shares and warrants on the Nasdaq Stock Market LLC were $0.48 per ordinary share and $0.01 and $0.004 per warrant, respectively.</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49,253,117 ordinary shares being offered for resale in this prospectus represents approximately 60% of our total outstanding ordinary shares as of the date of this prospectus (assuming, in each case, the conversion in full of all of the Convertible Notes into ordinary shares and the exercise of all of the Warrants). The sale of all the securities being offered in this prospectus could result in a significant decline in the public trading price of our ordinary shares and/or warrants and could impair our ability to raise capital through the sale of additional equity securities. We are unable to predict the effect that such sales may have on the prevailing market price of our ordinary shares warrants. Despite such a decline in the public trading price, the Selling Securityholders and holders of Warrants may still experience a positive rate of return on the securities they purchased due to the differences in the purchase prices of which they purchased the ordinary shares and the Warrants described above.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and are subject to reduced public company reporting requirements.</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15 of this prospectus and other risk factors contained in the documents incorporated by reference herein for a discussion of information that should be considered in connection with an investment in our securities.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Israeli Securities Authority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970"/>
              <w:spacing w:after="0"/>
              <w:rPr>
                <w:sz w:val="20"/>
                <w:szCs w:val="20"/>
                <w:color w:val="auto"/>
              </w:rPr>
            </w:pPr>
            <w:r>
              <w:rPr>
                <w:rFonts w:ascii="Times New Roman" w:cs="Times New Roman" w:eastAsia="Times New Roman" w:hAnsi="Times New Roman"/>
                <w:sz w:val="18"/>
                <w:szCs w:val="18"/>
                <w:color w:val="auto"/>
              </w:rPr>
              <w:t>, 2024.</w:t>
            </w:r>
          </w:p>
        </w:tc>
      </w:tr>
      <w:tr>
        <w:trPr>
          <w:trHeight w:val="682"/>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8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800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6"/>
        </w:trPr>
        <w:tc>
          <w:tcPr>
            <w:tcW w:w="12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960" w:type="dxa"/>
            <w:vAlign w:val="bottom"/>
            <w:tcBorders>
              <w:top w:val="single" w:sz="8" w:color="CCEEFF"/>
            </w:tcBorders>
            <w:gridSpan w:val="9"/>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72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8"/>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 INCORPORATION OF INFORMATION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40" w:type="dxa"/>
            <w:vAlign w:val="bottom"/>
            <w:tcBorders>
              <w:top w:val="single" w:sz="8" w:color="0000EE"/>
            </w:tcBorders>
            <w:shd w:val="clear" w:color="auto" w:fill="CCEEFF"/>
          </w:tcPr>
          <w:p>
            <w:pPr>
              <w:spacing w:after="0" w:line="20" w:lineRule="exact"/>
              <w:rPr>
                <w:sz w:val="1"/>
                <w:szCs w:val="1"/>
                <w:color w:val="auto"/>
              </w:rPr>
            </w:pPr>
          </w:p>
        </w:tc>
        <w:tc>
          <w:tcPr>
            <w:tcW w:w="250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or any supplement. Neither we nor the Selling Securityholders have authorized anyone else to provide you with different information. The securities offered by this prospectus are being offered only in jurisdictions where the offer is permitted. You should not assume that the information in this prospectus or any supplement is accurate as of any date other than the date on the front of each document. Our business, financial condition, results of operations and prospects may have changed since that date.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F-1 filed with the Securities Exchange Commission, or the SEC. The Selling Securityholders named in this prospectus may, from time to time, sell the securities described in this prospectus in one or more offerings. This prospectus and the documents incorporated by reference herein include important information about us, the ordinary shares being issued by us, the securities being offered by the Selling Securityholders and other information you should know before investing. Any prospectus supplement may also add, update, or change information in this prospectus. If there is any inconsistency between the information contained in this prospectus and any prospectus supplement, you should rely on the information contained in that particular prospectus supplement. This prospectus does not contain all of the information provided in the registration statement that we filed with the SEC. You should read this prospectus together with the additional information about us described in the section below entitled “Where You Can Find More Information; Incorporation of Information by Reference.” You should rely only on information contained in, or incorporated by reference into, this prospectus. We have not, and the Selling Securityholders have not, authorized anyone to provide you with information different from that contained in, or incorporated by reference into, this prospectus. The information contained in this prospectus is accurate only as of the date on the front cover of the prospectus and information we have incorporated by reference in this prospectus is accurate only as of the date of the document incorporated by reference. You should not assume that the information contained in, or incorporated by reference into, this prospectus is accurate as of any other date.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and the Selling Securityholders may offer and sell the securities directly to purchasers, through agents selected by us and/or the Selling Securityholders, or to or through underwriters or dealers. A prospectus supplement, if required, may describe the terms of the plan of distribution and set forth the names of any agents, underwriters or dealers involved in the sale of securities.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specified, all share amounts, conversion prices and exercise prices reflected in this prospectus give effect to the Share Split and Reverse Share Split described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HUB Security’s industry and the regions in which it operates, including HUB Security’s general expectations and market position, market opportunity, market share and other management estimates, is based on information obtained from various independent publicly available sources and other industry publications, surveys and forecasts, which HUB Security believes to be reliable based upon its management’s knowledge of the industry. We assume liability for the accuracy and completeness of such information to the extent included in this prospectus.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Such assumptions and estimates of HUB Security’s future performance and growth objectives and the future performance of its industry and the markets in which it operates are subject to a high degree of uncertainty and risk due to a variety of factors, including those discussed under the headings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Cautionary Statement Regarding Forward-Looking Statements; Market, Ranking and Other Industry Data</w:t>
      </w:r>
      <w:r>
        <w:rPr>
          <w:rFonts w:ascii="Times New Roman" w:cs="Times New Roman" w:eastAsia="Times New Roman" w:hAnsi="Times New Roman"/>
          <w:sz w:val="18"/>
          <w:szCs w:val="18"/>
          <w:color w:val="auto"/>
        </w:rPr>
        <w:t>” in this prospectus and in the headings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Operating and Financial Review and Prospectus</w:t>
      </w:r>
      <w:r>
        <w:rPr>
          <w:rFonts w:ascii="Times New Roman" w:cs="Times New Roman" w:eastAsia="Times New Roman" w:hAnsi="Times New Roman"/>
          <w:sz w:val="18"/>
          <w:szCs w:val="18"/>
          <w:color w:val="auto"/>
        </w:rPr>
        <w:t>” in our Annual Report on Form 20-F for the year ended December 31, 2023, or our 2023 Annual Report, incorporated by reference into this prospectus.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 xml:space="preserve">This document contains references to trademarks, trade names and service marks belonging to other entities. Solely for convenience, trademarks, trade names and service marks referred to in this prospectus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870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6870700"/>
                    </a:xfrm>
                    <a:prstGeom prst="rect">
                      <a:avLst/>
                    </a:prstGeom>
                    <a:noFill/>
                  </pic:spPr>
                </pic:pic>
              </a:graphicData>
            </a:graphic>
          </wp:anchor>
        </w:drawing>
        <w:t>PROSPECTUS SUMMARY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and is qualified in its entirety by, the more detailed information included elsewhere in this prospectus. This summary does not contain all of the information that may be important to you. You should read and carefully consider the entire prospectus, especially the “Risk Factors” section of this prospectus and in our 2023 Annual Report, before deciding to invest in our ordinary shares. Unless the context otherwise requires, we use the terms “company,” “we,” “us” and “our” in this prospectus to refer to HUB Cyber Security Ltd. and subsidiaries.</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HUB began operations in 1984 as A.L.D. Advanced Logistics Development Ltd. (“ALD”) and is engaged in developing and marketing quality management software tools and solutions. HUB Cyber Security TLV Ltd. (“HUB TLV”) was founded in 2017 by veterans of the elite Unit 8200 and Unit 81 of the Israeli Defense Forces, with vast experience and proven track records in setting up and commercializing start-ups in a multi-disciplinary environment. On February 28, 2021, HUB TLV and ALD signed a share swap merger agreement, pursuant to which HUB TLV became a wholly owned subsidiary of ALD and the shareholders of HUB TLV owned 51% of ALD’s issued and outstanding share capital (the “ALD Merger”). The ALD Merger was completed on June 21, 2021 and ALD later changed its name to Hub Cyber Security (Israel) Ltd. and later to Hub Cyber Security Ltd. Following the ALD Merger, we have developed unique technology and products in the field of confidential computing, with the intention to be a significant player in the cyber security industry. In November 2023, HUB began to collaborate with BlackSwan Technology (“BST”) with the goal of becoming a significant player in the secured data fabric industry. These technologies and solutions are mostly needed by government entities, banks and financial institutions, and large regulated enterprises. We currently operate in several countries and provide secured data fabric SaaS solutions (through the BST collaboration), as well as a wide range of cybersecurity professional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website address is www.hubsecurity.com. Information contained on, or that can be accessed through, our website does not constitute a part of this prospectus and is not incorporated by reference herein. We have included our website address in this prospectus solely for informational purposes. The SEC maintains an Internet site that contains reports, proxy and information statements, and other information regarding issuers, such as we, that file electronically, with the SEC at www.sec.gov.</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main address of our principal executive offices is 2 Kaplan Street, Tel Aviv, Israel and our telephone number is +972-3-791-3200. Our agent for service of process in the United States is Puglisi &amp; Associates, 850 Library Avenue, Newark, Delaware 19711.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28, 2023 (the “Closing Date”), we consummated the previously announced business combination (the “Business Combination”) pursuant to the Business Combination Agreement , dated March 23, 2022 (the “Business Combination Agreement”), by and among the Company, Mount Rainier Acquisition Corp., a Delaware corporation (“RNER”) and Rover Merger Sub Inc., a Delaware corporation and wholly owned subsidiary of the Company (“Merger Sub”).</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the following transactions occurred in connection with the closing of the Business Combination Agreement (all data on a pre-split basis):</w:t>
      </w:r>
    </w:p>
    <w:p>
      <w:pPr>
        <w:spacing w:after="0" w:line="162" w:lineRule="exact"/>
        <w:rPr>
          <w:sz w:val="20"/>
          <w:szCs w:val="20"/>
          <w:color w:val="auto"/>
        </w:rPr>
      </w:pPr>
    </w:p>
    <w:p>
      <w:pPr>
        <w:jc w:val="both"/>
        <w:ind w:left="640" w:right="20" w:hanging="324"/>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effected a share split of each of our ordinary shares into such number of ordinary shares, calculated in accordance with the terms of the Business Combination Agreement, such that each of our ordinary shares was given the value of $10.00 per share after giving effect to such share split, which resulted in reverse split ratio of 0.712434 (the “Share Split”);</w:t>
      </w:r>
    </w:p>
    <w:p>
      <w:pPr>
        <w:spacing w:after="0" w:line="17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Amended and Restated Articles of Association for HUB Cyber Security Ltd.;</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RNER (the “Merger”), with RNER being the surviving corporation in the Business Combination Agreement and becoming a wholly owned subsidiary of the Company, with the shareholders of RNER becoming shareholders of the Company;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9" w:name="page10"/>
    <w:bookmarkEnd w:id="9"/>
    <w:p>
      <w:pPr>
        <w:jc w:val="both"/>
        <w:ind w:left="640" w:right="20" w:hanging="324"/>
        <w:spacing w:after="0" w:line="255"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145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7145020"/>
                    </a:xfrm>
                    <a:prstGeom prst="rect">
                      <a:avLst/>
                    </a:prstGeom>
                    <a:noFill/>
                  </pic:spPr>
                </pic:pic>
              </a:graphicData>
            </a:graphic>
          </wp:anchor>
        </w:drawing>
        <w:t>in connection with the special meeting of stockholders held by RNER on January 4, 2023 (the “RNER Special Meeting”), the holders of 2,580,435 shares of common stock of RNER (the “RNER Common Stock” and each share of RNER Common Stock, a “RNER Share”) properly exercised their right to redeem their shares for cash at a redemption price of approximately $10.28 per share, for an aggregate redemption amount of approximately $26,526,872. These share redemptions were in addition to the 14,535,798 RNER Shares that were tendered for redemption in connection with the special meeting of RNER’s stockholders held on December 21, 2022 approving the extension of RNER’s expiration date to March 1, 2023 at a redemption price of approximately $10.31 per share, for an aggregate redemption amount of approximately $149,864,077;</w:t>
      </w:r>
    </w:p>
    <w:p>
      <w:pPr>
        <w:spacing w:after="0" w:line="188" w:lineRule="exact"/>
        <w:rPr>
          <w:rFonts w:ascii="Times New Roman" w:cs="Times New Roman" w:eastAsia="Times New Roman" w:hAnsi="Times New Roman"/>
          <w:sz w:val="18"/>
          <w:szCs w:val="18"/>
          <w:color w:val="auto"/>
        </w:rPr>
      </w:pPr>
    </w:p>
    <w:p>
      <w:pPr>
        <w:jc w:val="both"/>
        <w:ind w:left="640" w:right="20" w:hanging="324"/>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Business Combination Agreement (the “Effective Time”), each unit of RNER (a “RNER Unit”) issued and outstanding immediately prior to the Effective Time automatically detached and the holder of each such RNER Unit became deemed to hold one RNER Share and one warrant of RNER entitling the holder to purchase three-fourths of one RNER Share per warrant at a price of $11.50 per whole share (exercisable only for whole shares) (each, a “RNER Warrant”); and</w:t>
      </w:r>
    </w:p>
    <w:p>
      <w:pPr>
        <w:spacing w:after="0" w:line="179" w:lineRule="exact"/>
        <w:rPr>
          <w:rFonts w:ascii="Times New Roman" w:cs="Times New Roman" w:eastAsia="Times New Roman" w:hAnsi="Times New Roman"/>
          <w:sz w:val="18"/>
          <w:szCs w:val="18"/>
          <w:color w:val="auto"/>
        </w:rPr>
      </w:pPr>
    </w:p>
    <w:p>
      <w:pPr>
        <w:jc w:val="both"/>
        <w:ind w:left="640" w:right="20" w:hanging="324"/>
        <w:spacing w:after="0" w:line="258"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RNER Share issued and outstanding immediately prior to the Effective Time automatically converted into the right to receive 0.899 of our ordinary shares, and each RNER Warrant issued and outstanding immediately prior to the Effective Time converted into the right to receive 0.899 warrants of the Company (a “New Warrant”) subject to downward adjustment to the next whole number in case of fractions of warrants. A total of 16,043,862 New Warrants to purchase three-fourths of one HUB ordinary share were issued to holders of the RNER warrants. As a result of this conversion the New Warrants’ exercise price increased to $12.79 per whole share.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ordinary shares and warrants began trading on The Nasdaq Stock Market LLC on March under the symbol “HUBC” and “HUBCW” and “HUBCZ”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Share Split</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On December 15, 2023, following approval by our shareholders and Board of Directors, we effected a reverse share split of our authorized and outstanding ordinary shares, at a ratio of 10:1 whereby each 10 ordinary shares were reverse split into one ordinary share (with fractional shares being rounded down) (the “Reverse Share Split”). The conversion prices of outstanding notes and exercise prices of outstanding warrants and share options were adjusted to give effect to this Reverse Share Split.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specified, all share amounts, conversion prices and exercise prices reflected in this prospectus give effect to the Reverse Share Split.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Lind Financing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4, 2023, we entered into a Securities Purchase Agreement (the “Lind SPA”) with Lind Global Asset Management VI LLC, an investment fund managed by The Lind Partners, a New York based institutional fund manager (together, “Lind”). Pursuant to the Lind SPA, the Company agreed to issue to Lind up to two (2) secured convertible promissory notes in three tranches (the “Lind Notes” and each a “Lind Note”) for gross proceeds of up to $16,000,000 and warrants (the “Lind Warrants” and each a “Lind Warrant”) to purchase the Company’s ordinary shares (the “Lind Financing”).</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closings of the Lind Financing (the “Closings and each a “Closing”) occured in tranches (each a “Tranche”): the Closing of the first Tranche (the “First Closing”) occurred on May 8, 2023 and consisted of the issuance and sale to Lind of a Lind Note with a purchase price of $6,000,000 a principal amount of $7,200,000 and the issuance to Lind of Lind Warrants to acquire 245,821 ordinary shares. The purchase price for the initial Lind Note consisted of two separate funding amounts. At the closing the initial funding amount of $4,500,000 was received by the Company and the funding of the remaining $1,500,000 (the “Second Funding Amount”) was to expected occur within two (2) Business Days following the filing by the Company of its Annual Report on Form 20-F for the year ended December 31, 2022, under the original conditions of the Lind SPA (see details regarding amendments to the Lind SPA below). Upon the funding of the Second Funding Amount, the Company was expected issue additional Lind Warrants to Lind based on the Second Funding Amount.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10" w:name="page11"/>
    <w:bookmarkEnd w:id="10"/>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184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184900"/>
                    </a:xfrm>
                    <a:prstGeom prst="rect">
                      <a:avLst/>
                    </a:prstGeom>
                    <a:noFill/>
                  </pic:spPr>
                </pic:pic>
              </a:graphicData>
            </a:graphic>
          </wp:anchor>
        </w:drawing>
        <w:t>So long as no Event of Default has occurred under the Lind Note sold at the First Closing, the second closing (the “Second Closing) was expected to consist of the issuance and sale to Lind of a Lind Note with a purchase price of $10,000,000 and a principal amount of $12,000,000, and the issuance to Lind of additional Lind Warrants to acquire ordinary shares. The Second Closing was expected to occur, under the original conditions of the Lind SPA, sixty (60) days following the effectiveness of the Registration Statement, as such term is defined below. The Second Closing is subject to certain conditions precedent as set forth in the Lind SPA. Pursuant to the Lind SPA, upon the payment of each funding amount, the Company agreed to pay Lind a commitment fee (the “Commitment Fee”) in an amount equal to 3.5% of the applicable funding amount being funded by Lind at the applicable Closing.</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amount of Lind Warrants to be issued upon the occurrence of the Second Funding Amount and in the Second Closing was expected to be equal to 1/3 times the applicable purchase price of the Lind Notes divided by the lower of (i) $0.6102 and (ii) the closing price of the Company’s ordinary shares on the trading day before the applicable closing date, under the original terms of the Lind SPA.</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Lind SPA, we agreed to file a registration statement on Form F-1 (the “Registration Statement”) no later than 30 days from entry into the Lind SPA to register the ordinary shares issuable upon conversion of the Lind Note and the ordinary shares issuable upon the exercise of the Lind Warrants (the “Lind Shares”). Additionally, the Company agreed that if the Company at any time determines to file a registration statement under the Securities Act to register the offer and sale, by the Company, of ordinary shares (other than on Form F-4 or Form S-8, an at-the-market offering, or a registration of securities solely relating to an offering and sale to employees or directors of the Company pursuant to any employee stock plan or other employee benefit plan arrangement), the Company will, as soon as reasonably practicable, give written notice to Lind of its intention to so register the offer and sale of ordinary shares. Within 5 business days of the Company’s delivery of any such notice to Lind, Lind may request that the Company include in such registration any Lind Shares that are not already registered or that may not be immediately resold under Rule 144 without restriction on the number of shares to be sold or manner of sale.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Lind Note issued under the Lind SPA in the First Closing has a maturity date of May 8, 2025, and the Lind Note issued under the Lind SPA in the Second Closing was expected to have a maturity date of 2 years from the date of issuance (the “Maturity Date”).</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Beginning on the date that is the earlier of (1) the Registration Statement being declared effective and (2) 120 days from the issuance date of each Lind Note, the Company shall repay the Lind Note in twelve (12) consecutive monthly installments, on such date and each one (1) month anniversary thereof (each, a “Payment Date” and collectively the “Monthly Payments”) an amount equal to $600,000 (the “Repayment Amount”), with the option of Lind to increase one Monthly Payment up to $1,500,000 by providing written notice to the Company. The Company has the option to make the Monthly Payments (i) in cash in the amount equal to the product of Repayment Amount multiplied by 1.05 (ii) (ii) ordinary share, or (iii) a combination of cash and ordinary shares. The amount of ordinary shares to be issued upon repayment shall be calculate by dividing the Repayment Amount being paid in ordinary shares by the Repayment Share Price. The “Repayment Share Price” will be equal to ninety percent (90)% of the average of the lowest five (5) consecutive daily VWAPs during the twenty (20) Trading Days prior to the Payment Date. Unless waived in writing in advance by Lind, the Company may not make payments in ordinary shares unless such shares (A) may be immediately resold under Rule 144 without restriction on the number of shares to be sold or manner of sale, or (B) are registered for resale under the Securities Act and the registration statement is in effect and lawfully usable to effect immediate sales of such shares by Lind.</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Lind Note to be issued will be convertible at the option of Lind at a conversion price equal to the lower of (i) $0.9763 and (ii) 1.6 times the closing price of the Company’s ordinary shares on the trading day before the applicable closing date (the “Conversion Price”). Upon the occurrence and during the continuance of an Event of Default (as defined in the Lind Note) Lind shall have the option to convert the Lind Note at the lower of (i) the then-current Conversion Price and (ii) eighty-percent (80)% of the average of the three (3) lowest daily VWAPs during the twenty (20) Trading Days prior to delivery of the applicable notice of conversion. The Conversion Price is also subject to certain adjustments as set forth in the Lind Note.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11" w:name="page12"/>
    <w:bookmarkEnd w:id="1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693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7693660"/>
                    </a:xfrm>
                    <a:prstGeom prst="rect">
                      <a:avLst/>
                    </a:prstGeom>
                    <a:noFill/>
                  </pic:spPr>
                </pic:pic>
              </a:graphicData>
            </a:graphic>
          </wp:anchor>
        </w:drawing>
        <w:t>The Lind Note will not bear interest other than in the event that if certain payments under the Lind Note as set forth therein are not timely made, the Lind Note will bear interest at the rate of 2% per month (prorated for partial months) until paid in full. The Company will have the right to prepay the Lind Note under the terms set forth therein.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shall have the right to prepay all, but not less than all, of the applicable Lind Note following the date that is sixty (60) days after the earlier to occur of (a) the date the Registration Statement is declared effective by the SEC or (b) the date that any shares issued pursuant to the applicable Lind Note may be immediately resold under Rule 144 without restriction on the number of shares to be sold or manner of sale at an amount equal to the outstanding principal amount of the Lind Note multiplied by 1.05.</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Lind Note, the Company agreed that in the event that, at any time following the First Closing, the Company or its subsidiaries, issue any debt, including any subordinated debt or convertible or any equity interests, other than Exempted Securities, as such term is defined in the Lind SPA, in one or more transactions for aggregate proceeds of more than $10,000,000 of cash proceeds being received by the Company, unless otherwise waived in writing by and at the discretion of Lind, the Company will immediately utilize 20% of the proceeds of such issuance to repay the Lind Notes issued to Lind pursuant to the Lind SPA, until there remains no outstanding and unconverted principal amount due.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Lind will not have the right to convert the portion of the Lind Note or exercise the portion of the Lind Warrant, if Lind together with its affiliates, would beneficially own in excess of 4.99% (or 9.99% if Lind already owns greater than 4.99)% of the number of ordinary shares outstanding immediately after giving effect to such conversion or exercise.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24, 2023, we and Lind entered into an amendment (the “August 2023 Lind Amendment”) to the Lind SPA, the Lind Note and the Lind Warrants pursuant to which we agreed to amend the definition of “First Funding Amount” in the Lind SPA such that Lind would fund us with $1 million, less the Commitment Fee, immediately upon execution of the August 2023 Lind Amendment. In addition, Lind agreed to provide us with an additional $500,000, less the Commitment Fee, within five (5) business days following our providing written confirmation to Lind that we have filed the Registration Statement to register the ordinary shares issuable upon conversion of the Lind Note and the ordinary shares issuable upon the exercise of the Lind Warrants and that there is no ongoing Event of Default or that no event of default will occur as a result of such additional funding.</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consideration for the amendments to the First Funding Amount in the August 2023 Lind Amendment, we agreed to amend the Lind Note and increase the principal amount of the Lind Note from $7.2 million to $9 million. Additionally, we agreed to amend the conversion price of the Lind Note to $0.45. Further, as consideration for the August 2023 Lind Amendment, we agreed to amend the Lind Warrants and issue to Lind additional warrants to purchase 254,179 of our ordinary shares bringing the total amount of shares that can be purchased under the Lind Warrant to 500,000 ordinary shares. We also agreed to amend the exercise price of the Lind Warrant to $4.50 per ordinary share.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additional $1 million funding pursuant to the August 2023 Lind Amendment, we agreed issue to Lind a new warrant to purchase 250,000 ordinary shares with an exercise price of $4.50 per ordinary share and under the same terms and conditions as the Lind Warrant. Finally, in the event that the Registration Statement is filed and we receive the additional $500,000 funding amount, we agreed to issue to Lind a new warrant to purchase a number of ordinary shares equal to $500,000 divided by the closing price of our ordinary shares on the date prior to the filing of the Registration Statement, at an exercise price equal to 1.25 multiplied by the average of the daily volume weighted average prices during the five (5) trading days prior to the filing of the Registration Statement, and under the same terms and conditions as the Lind Warrant.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28, 2023, we and Lind entered into an additional amendment (the “November 2023 Lind Amendment”) to the Lind SPA, the Lind Note and the Lind Warrants pursuant to which we agreed to further amend the definition of “First Funding Amount” in the Lind SPA such that Lind would fund us with an additional $500,000 in cash immediately upon execution of the November 2023 Lind Amendment. Pursuant to the November 2023 Lind Amendment. We also agreed to amend the definitions of “Second Funding Amount” and “Second Principal Amount” in the Lind SPA to decrease such amount from $10.0 million to $9.5 million and from $12.0 million to $11.4 million, respectively.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consideration for the amendment to the First Funding Amount in the November 2023 Lind Amendment, we agreed to amend the Lind Note and increase the principal amount of the Lind Note from $9.0 million to $9.6 million. Additionally, we agreed to amend the conversion price of the Lind Note from $0.45 to $0.35. Further, as consideration for the November 2023 Lind Amendment, we agreed to amend the Lind Warrants and issue to Lind additional warrants to purchase 142,857 of our ordinary shares, bringing the total amount of shares that can be purchased under the Lind Warrants to 892,857 ordinary shares. We also agreed to further amend the exercise price of the Lind Warrant from $4.50 per ordinary share to $3.50 per ordinary share. Finally, we agreed to file a registration statement (or amend an existing registration statement) no later than 15 days from entry into the November 2023 Lind Amendment to register the ordinary shares issuable upon conversion of the Lind Note and the ordinary shares issuable upon the exercise of the Lind Warrants.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12" w:name="page13"/>
    <w:bookmarkEnd w:id="1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184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6184900"/>
                    </a:xfrm>
                    <a:prstGeom prst="rect">
                      <a:avLst/>
                    </a:prstGeom>
                    <a:noFill/>
                  </pic:spPr>
                </pic:pic>
              </a:graphicData>
            </a:graphic>
          </wp:anchor>
        </w:drawing>
        <w:t>Lind currently claims that we are in default under the outstanding Lind Convertible Note and Lind Agreement due to our alleged failure to file a registration statement within 30 days of the entry into the Lind Agreement and have such registration statement declared effective within 90 days of our entry into the Lind Agreement, as well as for certain issuances we made in contravention of the Lind Agreement (including the entry into the Shayna Loan Agreements). As a result of this claimed default it is uncertain when, if at all, we may be able to receive the additional amounts called for under the Lind Agreement as part of the Second Closing. They are expected to convert after a registration statement is filed by us, which we intend to promptly file following the filing of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March-June 2024 Financing Transaction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March-June 2024, we sold to an accredited investor (the “March-June 2024 Investor”), in a series of unregistered private transaction, notes (the “March-June 2024 Notes”) with an aggregate principal amount of $10,000,000, and warrants (the “March-June 2024 Warrants”) pursuant to a Securities Purchase Agreement entered into with the March-June 2024 Investor (the “March-June 2024 Purchase Agreement”). Our acquisition of Qpoint’s shares that were not held by us to complete ownership of 100% of Qpoint shares was partially funded by proceeds we received pursuant to the March-June 2024 Purchase Agreement.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loan amount under the March-June 2024 Notes is repayable by the Company on the earlier of (i) August 10, 2024 with respect to 40% of the loan amount and September 24, 2024 with respect to the remaining 60% of the loan amount, or (ii) five (5) business days following the closing of a financing in the Company of at least $25,000,000. The principal amount under the March-June 2024 Notes carries a variable interest rate based on the date of repayment as follows: (a) with respect to $8,000,000 of the principal amount, (i) for the principal amount repaid on or prior to May 12, 2024, 7%, (ii) for the principal amount repaid following May 12, 2024 and on or prior to June 12, 2024, a rate between 7% and 8.5% of such principal amount computed by adding to 7% the result obtained by multiplying 1.5 by the quotient of the number of days elapsed in such period until (and including) the repayment date divided by the number of days in such period, and (iii) for the principal amount repaid following June 12, 2024, 8.5% of such principal amount plus 15% per annum, on the basis of the actual number of days elapsed commencing from the date following June 12, 2024 and ending on the repayment date; and (b) with respect to $2,000,000 of the principal amount, (i) for the principal amount repaid on or prior to September 24, 2024, 10%, and (ii) for the principal amount repaid following September 24, 2024, 10% of such principal amount plus 15% per annum, on the basis of the actual number of days elapsed commencing from the date following September 24, 2024 and ending on the repayment date. We are currently in discussions with the March-June Investor regarding our non-payment of the loan amount that came due on August 10, 2024.</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March-June 2024 Notes are not repaid prior to the applicable maturity date, the March-June 2024 Investor may convert the applicable portion of the outstanding loan amount into the Company’s ordinary shares at a rate equal to the arithmetic average of the closing price of the ordinary shares in the five (5) trading days prior to the date of conversion, provided that such conversion rate shall not be lower than $0.50. The loan amount is secured by a pledge on the shares of the Qpoint group. Additionally, for so long as the loan amount under the March-June 2024 Notes is outstanding, the Company has undertaken to cause the Qpoint group to adopt a dividend policy and designate dividend proceeds for the repayment of the loan amount.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March-June 2024 Warrants issued under the March-June 2024 Purchase Agreement are exercisable as follows: (i) March-June 2024 Warrants exercisable into 4,444,444 ordinary shares are exercisable at an exercise price equal to $0.70 per share until March 12, 2027, (ii) March-June 2024 Warrants exercisable into 4,000,000 ordinary shares are exercisable at an exercise price equal to $0.70 per share until April 3, 2027, (iii) March-June 2024 Warrants exercisable into 1,000,000 ordinary shares are exercisable at an exercise price equal to $0.50 per share until June 26, 2027 and (iv) March-June 2024 Warrants exercisable into 2,000,000 ordinary shares are exercisable at an exercise price equal to $0.70 per share until June 26, 2027.</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conversion of the March-June 2024 Notes and the exercise of the March- June 2024 Warrants will be limited to the extent that, upon the conversion or exercise, the March- June 2024 Investor and its affiliates would in aggregate beneficially own more than 4.99% of the ordinary shares.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33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6733540"/>
                    </a:xfrm>
                    <a:prstGeom prst="rect">
                      <a:avLst/>
                    </a:prstGeom>
                    <a:noFill/>
                  </pic:spPr>
                </pic:pic>
              </a:graphicData>
            </a:graphic>
          </wp:anchor>
        </w:drawing>
        <w:t>Qpoint Purchase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3, 2024, we acquired for NIS 25,000,000 in cash the shares of Qpoint that it did not yet own at that time, constituting 53.5% of Qpoint’s outstanding shares. Payments were agreed to be carried out in three installments as follows: (i) NIS 4,000,000 on the signing date; (ii) NIS 16,000,000 on the closing date (which was April 8, 2024); (iii) Additional NIS 5,000,000 no later than February 10, 2025 (of which NIS 2,500,00 was already paid by June 5, 2024).</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This acquisition is strategically aligned with the Company’s mission to establish a leading global professional services and secure data fabric ecosystem. Qpoint has a diverse customer base of over 100 renowned brand clients, including partnerships with Rafael Advanced Defense Systems, the developer of the “Iron Dome”, the Israel Airport Authority and the Ministry of Defense of Israel.</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Qpoint, which was established in 2009, comprises five subsidiaries and provides solutions and consulting across various verticals, including innovative data management and security solutions. The strategic integration enhances HUB’s capabilities in safeguarding sensitive information across various sectors.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Qpoint has expertise in software engineering, testing, cybersecurity, ICT, web, mobile, project management and complex integration processes, which bring invaluable additions to HUB’s portfolio and expands HUB’s market reach, revenue stability and customer support. There is a significant cross-selling opportunity between Qpoint and HUB’s expanded offerings, with customers spanning various industries, including the healthcare, government, energy, defense, and financial sectors. The acquisition of Qpoint not only significantly broadens HUB’s customer base and service offerings as a result of Qpoint’s market presence and compelling service solutions, but also integrates a financially sound partner poised to make a significant contribution to HUB’s overall financial well-being.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2024 Financing Transaction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18, 2024, we entered into Securities Purchase Agreements (the “August 2024 Purchase Agreements”) with multiple private investors to raise gross proceeds of approximately $3.3 million in exchange for the issuance of convertible notes (the “August 2024 Notes”) with an aggregate principal amount of approximately $4.0 million and warrants to acquire an aggregate of approximately 4.7 million ordinary shares of the Company (the “August 2024 Warrants” and together with the August 2024 Purchase Agreements, the August 2024 Notes and the August 2024 Warrants, the “Transaction Documents”). The proceeds will be used by the Company for general corporate purposes.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August 2024 Notes are unsecured, have a term of two years and do not accrue interest. They are convertible into ordinary shares of the Company at any time at the option of the holder of each note at a price equal to the lower of $0.70 and the price per share at which the Company sells ordinary shares to a third party, but in no event less than $0.50.</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August 2024 Warrants are exercisable for a period of three years at an exercise price of $1.00 per share. In the event that the conversion price of the August 2024 Notes is reduced, the exercise price of the August 2024 Warrants will be reduced proportionately.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placement agent for this transaction is entitled to receive a fee of approximately $233,000 in cash and a warrant to purchase approximately 1.1 million ordinary shares of the Company on terms substantially similar to the terms of the August 2024 Warrants (the “Placement Agent Warrant”). The Company intends to enter into a consulting agreement with the placement agent for an initial period of three months, during which the placement agent will be paid a fee of $15,000 per month.</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conversion of the August 2024 Notes and the exercise of the August 2024 Warrants and the Placement Agent Warrant will be limited to the extent that, upon conversion or exercise, the holder and its affiliates would in the aggregate beneficially own more than 4.99% of the Company’s outstanding ordinary shares. The Company has undertaken to register the resale of the ordinary shares underlying the August 2024 Notes and August 2024 Warrants on a registration statement with the Securities and Exchange Commission.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4"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242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8242300"/>
                    </a:xfrm>
                    <a:prstGeom prst="rect">
                      <a:avLst/>
                    </a:prstGeom>
                    <a:noFill/>
                  </pic:spPr>
                </pic:pic>
              </a:graphicData>
            </a:graphic>
          </wp:anchor>
        </w:drawing>
        <w:t>BST Collaboration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November 2023, we began to collaborate with BlackSwan Technology (“BST”) with the goal of becoming a significant player in the secured data fabric industry. Subsequently, in August 2024, we entered into a collaboration agreement with BST formalizing the terms of the collaboration between the parties (the “BST Collaboration Agreement”). The BST Collaboration Agreement is effective as of November 1, 2023 and pursuant to the terms thereof, BST agreed to conduct activities directed by us to integrate BST technology with HUB technology. It should be emphasized that the retroactive applicability stems from the August 2024 language. In addition, we agreed to provide advisory services to BST in connection with BST’s performance under specified commercial agreements. Pursuant to the BST Collaboration Agreement, we receive all rights to any deliverables created under the BST Collaboration Agreement and an irrevocable, perpetual license to any BST background intellectual property created or developed before or after the effective date of the BST Collaboration Agreement. The BST Collaboration Agreement further grants HUB with the exclusive right available until August 22, 2025 to elect to acquire all of the outstanding share capital of BST or assets of BST to be selected by us, in consideration for up to 30% of our outstanding share capital immediately following the closing of the acquisition on a fully-diluted basis, subject to adjustment and further terms and conditions to be set forth in a definitive agreement. While there is no certainty as to the duration of the BST Collaboration Agreement or any other transaction between the parties, we ultimately hope to leverage the success of the collaboration under the BST Collaboration Agreement into an acquisition of BST, subject to the completion of due diligence and negotiation of a definitive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highlight w:val="white"/>
        </w:rPr>
        <w:t>Nasdaq Non-Compliance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16, 2024, we received a deficiency notice from Nasdaq informing us that our ordinary shares have failed to comply with the $1.00 minimum bid price required for continued listing under Nasdaq Listing Rule 5450(a)(1) (the “Minimum Bid Price Requirement”) based upon the closing bid price of our ordinary shares for the 30 consecutive business days prior to the date of the deficiency notice. The deficiency notice did not result in the immediate delisting of our ordinary shares from Nasdaq. In accordance with Nasdaq Listing Rule 5810(c)(3)(A), we were given 180 calendar days from, or until January 13, 2025, to regain compliance with the Minimum Bid Price Requirement. If at any time before January 13, 2025, the bid price of our ordinary shares closes at $1.00 per share or more for a minimum of 10 consecutive business days, then Nasdaq will provide written confirmation that we have regained compliance.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on August 23, 2024 we received a deficiency notice from the staff of the Listing Qualifications department of Nasdaq (the “Staff”) informing us that we are no longer in compliance with Nasdaq Listing Rule 5450(b)(3) (the “Total Assets and Total Revenue Requirement”) because our total assets and total revenue for the most recently completed fiscal year and two of the last three most recently completed fiscal years were each below the minimum $50 million threshold for continued listing on The Nasdaq Global Market. In accordance with Nasdaq Listing Rule 5810(c)(2)(A), we have 45 calendar days, or until October 7, 2024, to submit a plan to Nasdaq to evidence compliance with Nasdaq’s continued listing criteria (the “Compliance Plan”). If the Staff accepts the Company’s Compliance Plan, the Staff can grant us an extension of up to 180 days from the date of the Staff’s notice, or until February 19, 2025, to regain compliance. If the Compliance Plan is not accepted, the Staff will provide written notice that our ordinary shares are subject to delisting. At that time, we may request a hearing before the Nasdaq Hearings Panel (the “Panel”), which request would stay any further action by the Staff at least until the hearing process concludes.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considering available options to regain compliance with the continued listing standards. However, there can be no assurance that we will be successful in developing the Compliance Plan, that the Compliance Plan will be accepted by Nasdaq, or even if it is accepted, that we will ultimately regain compliance with the continued listing standards within the allotted extension period, which may be less than the 180 calendar day period available to the Staff.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highlight w:val="white"/>
        </w:rPr>
        <w:t>Liquidity</w:t>
      </w:r>
    </w:p>
    <w:p>
      <w:pPr>
        <w:spacing w:after="0" w:line="227" w:lineRule="exact"/>
        <w:rPr>
          <w:sz w:val="20"/>
          <w:szCs w:val="20"/>
          <w:color w:val="auto"/>
        </w:rPr>
      </w:pPr>
    </w:p>
    <w:p>
      <w:pPr>
        <w:jc w:val="both"/>
        <w:ind w:firstLine="382"/>
        <w:spacing w:after="0" w:line="252" w:lineRule="auto"/>
        <w:rPr>
          <w:sz w:val="20"/>
          <w:szCs w:val="20"/>
          <w:color w:val="auto"/>
        </w:rPr>
      </w:pPr>
      <w:r>
        <w:rPr>
          <w:rFonts w:ascii="Times New Roman" w:cs="Times New Roman" w:eastAsia="Times New Roman" w:hAnsi="Times New Roman"/>
          <w:sz w:val="18"/>
          <w:szCs w:val="18"/>
          <w:color w:val="auto"/>
        </w:rPr>
        <w:t>As a result of liquidity and cash flow concerns that have arisen due to the ongoing investigation and the delay in the filing of our 2023 Annual Report, along with other factors related to our business operations, we face significant uncertainty regarding the adequacy of our liquidity and capital resources and our ability to repay our obligations as they become due. We are generating negative cash flow, requiring constant and immediate cash injections to continue to operate, and are failing to meet obligations as they become due, including financial, suppliers debts and other ordinary course of operations costs. In addition, and as a result of our ongoing operating losses, we had outstanding liabilities that could not be met by our revenues, including payments due to our debt holders, vendors and service providers, and since May 2024, we have been unable to make required deposits in employee pension and severance funds or to pay required withholding taxes on employee compensation payments. We are currently in default under certain of our debt and convertible obligations totaling approximately $82 million in debt. We are currently negotiating with our debt holders with whom we are currently in default to extend the term of their notes or to convert the same into our ordinary shares. However, there can be no assurance that our discussions will be successful and, if we are not successful in finding an acceptable resolution to the existing default or the impending event of default, the holders of the outstanding debt will be able to seek judgement for the full amount due and may seek to foreclose on our assets, which would adversely affect our business or possibly force us to cease operations and commence liquidation proceedings. In addition, we are currently negotiating with Comsec creditors to achieve with them debt arrangement in light of two applications that were submitted to court to declare the Company and Comsec as insolvent.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4" w:right="459" w:bottom="1440" w:gutter="0" w:footer="0" w:header="0"/>
        </w:sectPr>
      </w:pPr>
    </w:p>
    <w:bookmarkStart w:id="15" w:name="page16"/>
    <w:bookmarkEnd w:id="1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322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6322060"/>
                    </a:xfrm>
                    <a:prstGeom prst="rect">
                      <a:avLst/>
                    </a:prstGeom>
                    <a:noFill/>
                  </pic:spPr>
                </pic:pic>
              </a:graphicData>
            </a:graphic>
          </wp:anchor>
        </w:drawing>
        <w:t>The significant uncertainty regarding our liquidity and capital resources, our ability to repay our obligations as they become due, provides substantial doubt about our ability to continue as a going concern for the next twelve months from the date of issuance of our 2023 Annual Report. Our management is closely monitoring the situation and has been attempting to alleviate the liquidity and capital resources concerns through workforce reductions, interim financing facilities, negotiations with the Company’s creditors and other capital raising efforts.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filing of the 2023 Annual Report, we expect to be able to obtain additional sources of debt and equity financing, together with additional revenues from new business opportunities and has engaged with potential investors with regards to such financing alternatives. However, such opportunities remain uncertain and are predicated upon events and circumstances which are outside the Company’s control. The inability to borrow or raise sufficient funds on commercially reasonable terms, would have serious consequences to the Company’s business, financial condition, results of operations and growth prospects.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continue as a going concern is contingent upon, among other factors, the sale of ordinary shares to obtain additional funding to support our operations and/or obtaining alternate financing and the ability to cure our outstanding defaults or that these obligations may be negotiated on terms that are favorable to us, if at all. Management currently believes that it will be necessary for us to secure additional funds to continue our existing business operations and to fund our obligations. We have raised and will continue to seek to raise additional funds during 2024 through a variety of equity and/or debt financing arrangements; however, there can be no assurance that we will be able to obtain funds on commercially acceptable terms, if at all. If we cannot generate sufficient revenues, reduce cost and/or secure additional financing on acceptable terms, we may be required to, among other things, alter our business strategy, significantly curtail or discontinue operations or obtain funds by entering into financing agreements on unattractive terms.</w:t>
      </w:r>
    </w:p>
    <w:p>
      <w:pPr>
        <w:spacing w:after="0" w:line="192"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Additionally, we signed subscription agreements for the purchase of $50 million of our ordinary shares to be offered in a private placement in connection with the closing of the Business Combination Agreement (the “PIPE Investors”). However, upon the closing of the Business Combination Agreement, we did not receive the funds related to the private placement. Negotiation with the PIPE investors resulted in closing on $4 million to date. The investors never explained their breach of the subscription agreements. While we are considering possible alternatives in order to pursue the majority of the remaining funds committed as a part of the PIPE investment from the investors , it is uncertain that we will be able to receive the remaining PIPE funds.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ordinary shares being offered for resale in this prospectus represents approximately 60% of our issued and outstanding ordinary shares as of September 12, 2024 (assuming, in each case, the conversion in full of all of the Convertible Notes and the exercise of all of the Warrants). The sale of all the securities being offered in this prospectus could result in a significant decline in the public trading price of our ordinary shares. Despite such a decline in the public trading price, the Selling Securityholders may still experience a positive rate of return on the securities they purchased or are issuable to them in the future due to the differences in the purchase prices of which they purchased the ordinary shares and the warrants described herein. Should the market price of our ordinary shares decline significantly, we may be unable to obtain the sources of debt and equity financing that we are seeking upon favorable terms, if at all.</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we will receive the proceeds from any exercise of any Warrants in cash. The aggregate amount of proceeds could be up to an aggregate of approximately $40.6 million from the exercise of the Warrants, assuming the exercise in full of all the Warrants for cash at the lowest exercise price. We expect to use any such proceeds for general corporate and working capital purposes, which would increase our liquidity, but our ability to fund our operations is not dependent upon receipt of cash proceeds from the exercise of the Warrants.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the likelihood that warrant holders will exercise their Warrants, and therefore the amount of cash proceeds that we would receive, is dependent upon the market price of our ordinary shares. If the market price for our ordinary shares is less than the respective prices of the Warrants, we believe Warrant holders will be unlikely to exercise their Warrants.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282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7875" cy="7282180"/>
                    </a:xfrm>
                    <a:prstGeom prst="rect">
                      <a:avLst/>
                    </a:prstGeom>
                    <a:noFill/>
                  </pic:spPr>
                </pic:pic>
              </a:graphicData>
            </a:graphic>
          </wp:anchor>
        </w:drawing>
        <w:t>Summary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Investing in our ordinary shares involves substantial risks, and our ability to successfully operate our business and execute our growth plan is subject to numerous risks. You should consider all the information contained in this prospectus in deciding whether to invest in our ordinary shares.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15 and in the documents incorporated by reference into this prospectus. Such risks include, but are not limited to:</w:t>
      </w:r>
    </w:p>
    <w:p>
      <w:pPr>
        <w:spacing w:after="0" w:line="180" w:lineRule="exact"/>
        <w:rPr>
          <w:sz w:val="20"/>
          <w:szCs w:val="20"/>
          <w:color w:val="auto"/>
        </w:rPr>
      </w:pPr>
    </w:p>
    <w:p>
      <w:pPr>
        <w:jc w:val="both"/>
        <w:ind w:left="640" w:right="20" w:hanging="324"/>
        <w:spacing w:after="0" w:line="25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previously disclosed internal investigation was initiated to review allegations of misappropriation of Company funds and other potential fraudulent actions regarding the use of Company funds by a former senior officer of the Company. As a result of or in connection with the matters that were the subject of the investigation, we may become subject to certain regulatory scrutiny. We are unable to predict the effectiveness of any remediation measures recommended by the Special Committee. In addition, we have incurred and may continue to incur substantial costs in connection with the internal investigation, which could have a material adverse effect on our business, financial condition and results of operations.</w:t>
      </w:r>
    </w:p>
    <w:p>
      <w:pPr>
        <w:spacing w:after="0" w:line="187"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company with a history of net losses and anticipate that we may incur net losses for the foreseeable future. Moreover, our independent registered public accounting firm’s report, contained herein, includes an explanatory paragraph that expresses substantial doubt about our ability to continue as a going concern, indicating the possibility that we may not be able to continue to operate in the future.</w:t>
      </w:r>
    </w:p>
    <w:p>
      <w:pPr>
        <w:spacing w:after="0" w:line="175"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7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that led to the failure to file our 2023 Annual Report on time, and our efforts to investigate, assess and remediate those matters have caused and may continue to cause substantial delays in our SEC filings.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currently in compliance with the continued listing standards of Nasdaq and our failure to meet the continued listing requirements of Nasdaq could result in a delisting of our securities.</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58"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financed our operations and certain capital needs through various debt, convertible debt and equity issuances. Our existing and future debt obligations could impair our liquidity and financial condition. We are currently in default under certain of our debt obligations. If we are unable to negotiate a solution for the payment of our outstanding debt or otherwise meet our debt obligations, the lenders could foreclose on our assets which could cause us to curtail or cease operations or have an adverse impact on our business, results of operations and financial condition and the price of our ordinary shares.</w:t>
      </w:r>
    </w:p>
    <w:p>
      <w:pPr>
        <w:spacing w:after="0" w:line="183"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funds in the near future in order to execute our business plan and these funds may not be available to us when we need them. If we cannot raise additional funds when we need them, our business, prospects, financial condition and operating results could be negatively affected.</w:t>
      </w:r>
    </w:p>
    <w:p>
      <w:pPr>
        <w:spacing w:after="0" w:line="17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new customers, retain existing customers and sell additional services to customers could adversely impact our revenue and results of operations.</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or material changes to, our relationships with key vendors could materially adversely affect our business, financial condition and operating results, which could be exacerbated due to our reliance on a small number of vendors for a significant portion of our distribution and offerings in our Professional Services division.</w:t>
      </w:r>
    </w:p>
    <w:p>
      <w:pPr>
        <w:spacing w:after="0" w:line="17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that we have taken to reduce costs and rebalance investments may not result in anticipated savings or operational efficiencies, could result in total costs and expenses that are greater than expected, and could disrupt our business.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in the field of secured data fabric and confidential computing makes it difficult to evaluate our business and future prospects and increases the risk of your investment.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17" w:name="page18"/>
    <w:bookmarkEnd w:id="17"/>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19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7419340"/>
                    </a:xfrm>
                    <a:prstGeom prst="rect">
                      <a:avLst/>
                    </a:prstGeom>
                    <a:noFill/>
                  </pic:spPr>
                </pic:pic>
              </a:graphicData>
            </a:graphic>
          </wp:anchor>
        </w:drawing>
        <w:t>The network security market is rapidly evolving within the increasingly challenging cyber threat landscape. If our solutions fail to adapt to market changes and demands, sales may not continue to grow or may decline.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business could be harmed based on real or perceived shortcomings, defects or vulnerabilities in our solutions or if our customers experience security breaches, which could have a material adverse effect on our business, reputation and operating results.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features, integrations and enhancements is dependent on adequate research and development resources.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and target many customers that are large corporations and government entities, which are subject to a number of challenges and risks, such as increased competitive pressures, administrative delays and additional approval requirements.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acceptance of secured data fabric and confidential computing as implemented by our solutions is not fully proven, is evolving and this market may develop more slowly than or differently from our expectations.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convert our customer orders in backlog or pipeline into revenue.</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fully execute, integrate or realize the benefits expected from acquisitions, which may require significant management attention, disrupt our business and adversely affect our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shortage of components or manufacturing capacity could cause a delay in our ability to fulfill orders or increase our manufacturing costs.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 U.S. listed public company.</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on the performance of, and we face stark competition for, highly skilled personnel, including our management, other key employees and qualified employees, and the loss of one or more of such personnel or of a significant number of our team members or the inability to attract and retain executives and qualified employees we need to support our operations and growth, could harm our business.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exposure to additional income tax liabilities could affect our future profitability.</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that seeks to become a comprehensive secured data fabric provider and confidential computing provider, if any of our systems, our customers’ cloud or on-premises environments, or our internal systems are breached or if unauthorized access to customer or third-party data is otherwise obtained, public perception of our business may be harmed, and we may lose business and incur losses or liabilities.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defects and errors may increase our costs and impair the market acceptance of our products and solutions.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intellectual property rights or prevent unauthorized parties from copying or reverse engineering our products or technology. Our efforts to protect and enforce our intellectual property rights and prevent third parties from violating our rights may be costly.</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dynamic regulatory environment around privacy and data protection may limit our offering or require modification of our products and services, which could limit our ability to attract new customers and support our existing customers and increase our operational expenses. We could also be subject to investigations, litigation, or enforcement actions alleging that we fail to comply with the regulatory requirements, which could harm our operating results and adversely affect our business.</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failures to comply with applicable data protection, privacy and security laws, regulations, standards and other requirements could adversely affect our business, financial condition and prospects.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securities class actions and other litigations and could be subject to additional litigation in the United States, Israel or elsewhere that could negatively impact our business, including resulting in substantial costs and liabilities.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Israel could materially and adversely affect our business.</w:t>
      </w:r>
    </w:p>
    <w:p>
      <w:pPr>
        <w:spacing w:after="0" w:line="200" w:lineRule="exact"/>
        <w:rPr>
          <w:sz w:val="20"/>
          <w:szCs w:val="20"/>
          <w:color w:val="auto"/>
        </w:rPr>
      </w:pPr>
    </w:p>
    <w:p>
      <w:pPr>
        <w:spacing w:after="0" w:line="363"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4"/>
          </w:cols>
          <w:pgMar w:left="776" w:top="1026" w:right="4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636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7875" cy="5636260"/>
                    </a:xfrm>
                    <a:prstGeom prst="rect">
                      <a:avLst/>
                    </a:prstGeom>
                    <a:noFill/>
                  </pic:spPr>
                </pic:pic>
              </a:graphicData>
            </a:graphic>
          </wp:anchor>
        </w:drawing>
        <w:t>Implications of Being an Emerging Growth Company and a Foreign Private Issuer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pursuant to the Jumpstart Our Business Startups Act of 2012, as amended (the “JOBS Act”). An emerging growth company may take advantage of specified exemptions from various requirements that are otherwise applicable generally to U.S. public companies. These provisions include:</w:t>
      </w:r>
    </w:p>
    <w:p>
      <w:pPr>
        <w:spacing w:after="0" w:line="176" w:lineRule="exact"/>
        <w:rPr>
          <w:sz w:val="20"/>
          <w:szCs w:val="20"/>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that allows the inclusion in an initial public offering registration statement of only two years of audited financial statements and selected financial data and only two years of related disclosure;</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executive compensation disclosure;</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any golden parachute payments not previously approved;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 of the Public Company Accounting Oversight Board regarding the communication of critical audit matters in the auditor’s report on the financial statements;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requirements of Section 404 of the Sarbanes-Oxley Act of 2002 (the “Sarbanes-Oxley Act”) in the assessment of the emerging growth company’s internal control over financial reporting.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JOBS Act also permits an emerging growth company such as us to delay adopting new or revised accounting standards until such time as those standards are applicable to private companies. We have elected to use this extended transition period to enable us to comply with certain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We may choose to take advantage of some but not all of these reduced reporting burdens.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w:t>
      </w:r>
    </w:p>
    <w:p>
      <w:pPr>
        <w:spacing w:after="0" w:line="225" w:lineRule="exact"/>
        <w:rPr>
          <w:sz w:val="20"/>
          <w:szCs w:val="20"/>
          <w:color w:val="auto"/>
        </w:rPr>
      </w:pPr>
    </w:p>
    <w:p>
      <w:pPr>
        <w:ind w:left="640" w:hanging="32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during which we have total annual revenue of at least $1.235 billion;</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following the fifth anniversary of the closing of the Business Combination Agreement;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 securities; or</w:t>
      </w:r>
    </w:p>
    <w:p>
      <w:pPr>
        <w:spacing w:after="0" w:line="225"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Securities Exchange Act of 1934, as amended (the “Exchange Act”), which would occur if the market value of our Class A ordinary shares that are held by non-affiliates exceeds $700 million as of the last business day of our most recently completed second fiscal quarter.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19" w:name="page20"/>
    <w:bookmarkEnd w:id="1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4538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7875" cy="4538980"/>
                    </a:xfrm>
                    <a:prstGeom prst="rect">
                      <a:avLst/>
                    </a:prstGeom>
                    <a:noFill/>
                  </pic:spPr>
                </pic:pic>
              </a:graphicData>
            </a:graphic>
          </wp:anchor>
        </w:drawing>
        <w:t>In addition, we report under the Exchange Act as a “foreign private issuer.” As a foreign private issuer, we may take advantage of certain provisions under the rules that allow us to follow Israeli law for certain corporate governance matters.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80" w:lineRule="exact"/>
        <w:rPr>
          <w:sz w:val="20"/>
          <w:szCs w:val="20"/>
          <w:color w:val="auto"/>
        </w:rPr>
      </w:pPr>
    </w:p>
    <w:p>
      <w:pPr>
        <w:ind w:left="640" w:right="2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U.S. Securities and Exchange Commission (the “SEC”) of quarterly reports on Form 10-Q containing unaudited financial and other specified information, or current reports on Form 8-K, upon the occurrence of specified significant events; and</w:t>
      </w:r>
    </w:p>
    <w:p>
      <w:pPr>
        <w:spacing w:after="0" w:line="17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Fair Disclosure (“Regulation FD”), which regulates selective disclosures of material information by issuers.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Foreign private issuers, like emerging growth companies, also are exempt from certain more stringent executive compensation disclosure rules. Thus, if we remain a foreign private issuer, even if we no longer qualify as an emerging growth company, we will continue to be exempt from the more stringent compensation disclosures required of public companies that are neither an emerging growth company nor a foreign private issuer.</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are required to determine our status as a foreign private issuer on an annual basis at the end of our second fiscal quarter. We would cease to be a foreign private issuer at such time as more than 50% of our outstanding voting securities are held by U.S. residents and any of the following three circumstances applies:</w:t>
      </w:r>
    </w:p>
    <w:p>
      <w:pPr>
        <w:spacing w:after="0" w:line="176" w:lineRule="exact"/>
        <w:rPr>
          <w:sz w:val="20"/>
          <w:szCs w:val="20"/>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executive officers or directors are U.S. citizens or residents;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are located in the United States; or</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administered principally in the United States.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36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t>THE OFFERING</w:t>
      </w:r>
    </w:p>
    <w:p>
      <w:pPr>
        <w:spacing w:after="0" w:line="229" w:lineRule="exact"/>
        <w:rPr>
          <w:sz w:val="20"/>
          <w:szCs w:val="20"/>
          <w:color w:val="auto"/>
        </w:rPr>
      </w:pPr>
    </w:p>
    <w:p>
      <w:pPr>
        <w:ind w:left="140"/>
        <w:spacing w:after="0"/>
        <w:tabs>
          <w:tab w:leader="none" w:pos="2980" w:val="left"/>
        </w:tabs>
        <w:rPr>
          <w:sz w:val="20"/>
          <w:szCs w:val="20"/>
          <w:color w:val="auto"/>
        </w:rPr>
      </w:pPr>
      <w:r>
        <w:rPr>
          <w:rFonts w:ascii="Times New Roman" w:cs="Times New Roman" w:eastAsia="Times New Roman" w:hAnsi="Times New Roman"/>
          <w:sz w:val="18"/>
          <w:szCs w:val="18"/>
          <w:color w:val="auto"/>
        </w:rPr>
        <w:t>Ordinary shares issuable by us upon</w:t>
        <w:tab/>
        <w:t>1,891,847</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exercise of the Public Warrants,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Private Warrants and the Prior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Warrants</w:t>
      </w:r>
    </w:p>
    <w:p>
      <w:pPr>
        <w:sectPr>
          <w:pgSz w:w="11900" w:h="16838" w:orient="portrait"/>
          <w:cols w:equalWidth="0" w:num="1">
            <w:col w:w="11240"/>
          </w:cols>
          <w:pgMar w:left="320" w:top="1022" w:right="339" w:bottom="1440" w:gutter="0" w:footer="0" w:header="0"/>
        </w:sectPr>
      </w:pPr>
    </w:p>
    <w:p>
      <w:pPr>
        <w:spacing w:after="0" w:line="207" w:lineRule="exact"/>
        <w:rPr>
          <w:sz w:val="20"/>
          <w:szCs w:val="20"/>
          <w:color w:val="auto"/>
        </w:rPr>
      </w:pPr>
    </w:p>
    <w:p>
      <w:pPr>
        <w:ind w:left="140"/>
        <w:spacing w:after="0" w:line="266" w:lineRule="auto"/>
        <w:rPr>
          <w:sz w:val="20"/>
          <w:szCs w:val="20"/>
          <w:color w:val="auto"/>
        </w:rPr>
      </w:pPr>
      <w:r>
        <w:rPr>
          <w:rFonts w:ascii="Times New Roman" w:cs="Times New Roman" w:eastAsia="Times New Roman" w:hAnsi="Times New Roman"/>
          <w:sz w:val="18"/>
          <w:szCs w:val="18"/>
          <w:color w:val="auto"/>
        </w:rPr>
        <w:t>Ordinary shares that may be offered and sold from time to time by the Selling Securityholders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140"/>
        <w:spacing w:after="0" w:line="251" w:lineRule="auto"/>
        <w:rPr>
          <w:sz w:val="20"/>
          <w:szCs w:val="20"/>
          <w:color w:val="auto"/>
        </w:rPr>
      </w:pPr>
      <w:r>
        <w:rPr>
          <w:rFonts w:ascii="Times New Roman" w:cs="Times New Roman" w:eastAsia="Times New Roman" w:hAnsi="Times New Roman"/>
          <w:sz w:val="18"/>
          <w:szCs w:val="18"/>
          <w:color w:val="auto"/>
        </w:rPr>
        <w:t>Up to 49,253,117 ordinary shares (the “Offered Shares”) issued or issuable to certain of the Selling Securityholders consisting of: (a) 31,194 ordinary shares issued at the closing of the Business Combination Agreement in exchange for shares of RNER common stock held by a director and officer of RNER prior to the Business Combination Agreement, which was initially purchased in a private placement prior to the initial public offering of RNER; (b) up to 878 ordinary shares that are issuable upon the exercise of the 11,687 Private Warrants (which were originally issued as part of units in a private placement as part of the initial public offering of RNER at a price of $100.00 per unit) at an exercise price of $127.90 per whole ordinary share by certain of the Selling Securityholders named in this prospectus; (c) up to 892,857 ordinary shares issuable upon exercise of warrants (the “Lind Warrants”) issued to an investor named as a Selling Securityholder in this prospectus pursuant to the Lind Financing, as defined below; (d) up to 22,453,334 ordinary shares issuable upon conversion of principal and accrued interest under convertible notes (the “March-June 2024 Convertible Notes”) issued to an investor named as a Selling Securityholder in this prospectus in the March-June 2024 Financing Transaction, as defined below, assuming a conversion price of $0.50 and maximum accrued interest through September 24, 2024; (e) up to 11,444,444 ordinary shares issuable upon exercise of warrants issued to an investor that is named as a Selling Securityholder in this prospectus in the March-June 2024 Financing Transaction (the “March-June 2024 Warrants”); (f) up to 8,046,500 ordinary shares issuable upon conversion of principal under convertible notes (the “August 2024 Convertible Notes” and together with the March-June 2024 Convertible Notes, the “Convertible Notes”) issued to certain investors that are named as Selling Securityholders in this prospectus in the August 2024 Financing Transaction, as defined below, assuming a conversion price of $0.50; (g) up to 4,750,005 ordinary shares issuable upon exercise of warrants issued to certain of the Selling Securityholders named in this prospectus in the August 2024 Financing Transaction; (h) up to 1,108,332 ordinary shares issuable upon exercise of warrants issued to the placement agent in the in the August 2024 Financing Transaction (the “Placement Agent Warrants” and together with the Lind Warrants, August 2024 Warrants, Public Warrants, Private Warrants, Prior Warrants, and August 2024 Warrants, the “Warrants”); (i) up to 454,545 ordinary shares issued to a consultant that is named as a Selling Securityholder in this prospectus; and (j) up to 71,528 ordinary shares issued to an investor that is named as a Selling Securityholder in this prospectus.</w:t>
      </w:r>
    </w:p>
    <w:p>
      <w:pPr>
        <w:spacing w:after="0" w:line="200" w:lineRule="exact"/>
        <w:rPr>
          <w:sz w:val="20"/>
          <w:szCs w:val="20"/>
          <w:color w:val="auto"/>
        </w:rPr>
      </w:pPr>
    </w:p>
    <w:p>
      <w:pPr>
        <w:sectPr>
          <w:pgSz w:w="11900" w:h="16838" w:orient="portrait"/>
          <w:cols w:equalWidth="0" w:num="2">
            <w:col w:w="2720" w:space="280"/>
            <w:col w:w="8240"/>
          </w:cols>
          <w:pgMar w:left="320" w:top="1022"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Private Warrants that may be offered</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11,687 Private Warrants</w:t>
            </w:r>
          </w:p>
        </w:tc>
      </w:tr>
      <w:tr>
        <w:trPr>
          <w:trHeight w:val="216"/>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sold from time to time by the</w:t>
            </w:r>
          </w:p>
        </w:tc>
        <w:tc>
          <w:tcPr>
            <w:tcW w:w="83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Securityholders</w:t>
            </w:r>
          </w:p>
        </w:tc>
        <w:tc>
          <w:tcPr>
            <w:tcW w:w="836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Terms of Warrants</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of the outstanding Public Warrants and Private Warrants entitles the holder to purchase three fourths of one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share at a price of $127.9 per whole share. The Public Warrants and Private Warrants expire on</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28, 2028 at 5:00 p.m., New York City time. As a result, a holder must exercise the Public Warrants in</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multiples of two warrants, subject to adjustment, to validly exercise the Public Warrants.</w:t>
            </w: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Prior Warrants are exercisable for one ordinary share each, with an exercise price of $20.30 per ordinary</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The Prior Warrants were originally set to expire on August 22, 2023, but our Board approved an</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extension to the prior warrants and their current expiration date is on August 22, 2025 at 5:00 p.m., New York</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City time.</w:t>
            </w: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Lind Warrants entitle the holder to purchase one ordinary share at an exercise price equal to $3.50 until</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24, 2028.</w:t>
            </w:r>
          </w:p>
        </w:tc>
      </w:tr>
      <w:tr>
        <w:trPr>
          <w:trHeight w:val="341"/>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1022" w:right="339" w:bottom="1440" w:gutter="0" w:footer="0" w:header="0"/>
          <w:type w:val="continuous"/>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prices of the ordinary shares</w:t>
      </w:r>
    </w:p>
    <w:p>
      <w:pPr>
        <w:spacing w:after="0" w:line="200" w:lineRule="exact"/>
        <w:rPr>
          <w:sz w:val="20"/>
          <w:szCs w:val="20"/>
          <w:color w:val="auto"/>
        </w:rPr>
      </w:pPr>
    </w:p>
    <w:p>
      <w:pPr>
        <w:spacing w:after="0" w:line="2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Ordinary shares issued and outstanding prior to any exercise of Warrants and Convertible Notes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Each March-June 2024 Warrant entitles the holder to purchase one ordinary share. The warrants issued in the March-June 2024 Financing Transaction are exercisable as follows: (i) March-June 2024 Warrants exercisable into 4,444,444 ordinary shares are exercisable at an exercise price equal to $0.70 per share until March 12, 2027, (ii) March-June 2024 Warrants exercisable into 4,000,000 ordinary shares are exercisable at an exercise price equal to $0.70 per share until April 3, 2027, (iii) March-June 2024 Warrants exercisable into 1,000,000 ordinary shares are exercisable at an exercise price equal to $0.50 per share until June 26, 2027 and (iv) March-June 2024 Warrants exercisable into 2,000,000 ordinary shares are exercisable at an exercise price equal to $0.70 per share until June 26,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-1329690</wp:posOffset>
            </wp:positionV>
            <wp:extent cx="7127875" cy="7162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August 2024 Warrant and Placement Agent Warrant entitles the holder to purchase one ordinary share. Each warrant issued in the August 2024 Financing Transaction is exercisable at an exercise price equal to $1.00 per share until August 18, 2027, provided that in the event that the conversion price of the August 2024 Notes is reduced, the exercise price of such warrants will be reduced proportionately.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offered by this prospectus may be offered and sold at prevailing market prices, privately negotiated prices or such other prices as the Selling Securityholders may determine.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30,459,736 ordinary shares (as of September 12, 2024).</w:t>
      </w:r>
    </w:p>
    <w:p>
      <w:pPr>
        <w:spacing w:after="0" w:line="657" w:lineRule="exact"/>
        <w:rPr>
          <w:sz w:val="20"/>
          <w:szCs w:val="20"/>
          <w:color w:val="auto"/>
        </w:rPr>
      </w:pPr>
    </w:p>
    <w:p>
      <w:pPr>
        <w:sectPr>
          <w:pgSz w:w="11900" w:h="16838" w:orient="portrait"/>
          <w:cols w:equalWidth="0" w:num="2">
            <w:col w:w="2700" w:space="160"/>
            <w:col w:w="8100"/>
          </w:cols>
          <w:pgMar w:left="460" w:top="1053" w:right="479" w:bottom="1440" w:gutter="0" w:footer="0" w:header="0"/>
        </w:sect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Ordinary shares to be issued and</w:t>
      </w:r>
      <w:r>
        <w:rPr>
          <w:sz w:val="20"/>
          <w:szCs w:val="20"/>
          <w:color w:val="auto"/>
        </w:rPr>
        <w:tab/>
      </w:r>
      <w:r>
        <w:rPr>
          <w:rFonts w:ascii="Times New Roman" w:cs="Times New Roman" w:eastAsia="Times New Roman" w:hAnsi="Times New Roman"/>
          <w:sz w:val="17"/>
          <w:szCs w:val="17"/>
          <w:color w:val="auto"/>
        </w:rPr>
        <w:t>81,572,628 ordinary shares (as of September 12,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assuming exercise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and Convertible Notes</w:t>
      </w:r>
    </w:p>
    <w:p>
      <w:pPr>
        <w:spacing w:after="0" w:line="20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will receive up to an aggregate of approximately $40.6 million from the exercise of the Warrants, assuming</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the exercise in full of all the Warrants for cash at the lowest exercise price. If any of the Warrants are exercised</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pursuant to a cashless exercise feature, we will not receive any cash from these exercises. We expect to use the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net proceeds from the exercise of the Warrants, if any, for general corporate purposes. Our management will</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have broad discretion over the use of proceeds from the exercise of the Warrants. We believe the likelihood that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warrant holders will exercise their Warrants, and therefore the amount of cash proceeds that we would receive,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color w:val="auto"/>
        </w:rPr>
        <w:t>is dependent upon the market price of our ordinary shares. If the market price for our ordinary shares is less than</w:t>
      </w:r>
    </w:p>
    <w:p>
      <w:pPr>
        <w:spacing w:after="0" w:line="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the respective exercise prices of the Warrants, we believe Warrant holders will be unlikely to exercise their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warrants.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All of the Offered Shares offered by the Selling Securityholders pursuant to this prospectus will be sold by the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Selling Securityholders for their respective accounts. We will not receive any of the proceeds from these sales of</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the Offered Shares.</w:t>
      </w:r>
    </w:p>
    <w:p>
      <w:pPr>
        <w:spacing w:after="0" w:line="20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Dividend Policy</w:t>
      </w:r>
      <w:r>
        <w:rPr>
          <w:sz w:val="20"/>
          <w:szCs w:val="20"/>
          <w:color w:val="auto"/>
        </w:rPr>
        <w:tab/>
      </w:r>
      <w:r>
        <w:rPr>
          <w:rFonts w:ascii="Times New Roman" w:cs="Times New Roman" w:eastAsia="Times New Roman" w:hAnsi="Times New Roman"/>
          <w:sz w:val="18"/>
          <w:szCs w:val="18"/>
          <w:color w:val="auto"/>
        </w:rPr>
        <w:t>We have never declared or paid any cash dividend on our ordinary shares. We currently intend to retain any</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future earnings and do not expect to pay any dividends in the foreseeable future. Any further determination to</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pay dividends on our ordinary shares would be at the discretion of our board of directors, subject to applicable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laws, and would depend on our financial condition.</w:t>
      </w:r>
    </w:p>
    <w:p>
      <w:pPr>
        <w:sectPr>
          <w:pgSz w:w="11900" w:h="16838" w:orient="portrait"/>
          <w:cols w:equalWidth="0" w:num="1">
            <w:col w:w="10960"/>
          </w:cols>
          <w:pgMar w:left="460" w:top="1053" w:right="479" w:bottom="1440" w:gutter="0" w:footer="0" w:header="0"/>
          <w:type w:val="continuous"/>
        </w:sectPr>
      </w:pP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Market for our ordinary shares and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ordinary shares and SPAC Warrants are listed on the Nasdaq Stock Market LLC under the trading symbols “HUBC,” “HUBCW” and “HUBCZ,” respectively.</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Prospective investors should carefully consider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15 for a discussion of certain factors that should be considered before buying the securities offered hereby.</w:t>
      </w:r>
    </w:p>
    <w:p>
      <w:pPr>
        <w:spacing w:after="0" w:line="200" w:lineRule="exact"/>
        <w:rPr>
          <w:sz w:val="20"/>
          <w:szCs w:val="20"/>
          <w:color w:val="auto"/>
        </w:rPr>
      </w:pPr>
    </w:p>
    <w:p>
      <w:pPr>
        <w:sectPr>
          <w:pgSz w:w="11900" w:h="16838" w:orient="portrait"/>
          <w:cols w:equalWidth="0" w:num="2">
            <w:col w:w="2500" w:space="360"/>
            <w:col w:w="8100"/>
          </w:cols>
          <w:pgMar w:left="460" w:top="1053" w:right="479" w:bottom="1440" w:gutter="0" w:footer="0" w:header="0"/>
          <w:type w:val="continuous"/>
        </w:sect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053" w:right="47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and the risks described in the documents incorporated by reference herein, including our 2023 Annual Report, as well as the other information included in this prospectus or incorporated by reference in this prospectus before you decide to buy our securities. The risks and uncertainties described below are not the only risks facing us. We may face additional risks and uncertainties not currently known to us or that we currently deem to be immaterial. Any of the risks described below, and any such additional risks, could materially adversely affect our business, financial condition or results of operations. In such case, you may lose all or part of your original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securities being offered in this prospectus represent a substantial percentage of our outstanding ordinary shares, and the sales of such securities could cause the market price of our ordinary shares to decline significantly.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ordinary shares being offered for resale in this prospectus represents approximately 60% of our issued and outstanding ordinary shares as of September 12, 2024 (assuming, in each case, the conversion in full of all of the Convertible Notes and the exercise of all of the Warrants). The sale of all the securities being offered in this prospectus could result in a significant decline in the public trading price of our ordinary shares. Despite such a decline in the public trading price, the Selling Securityholders may still experience a positive rate of return on the securities they purchased or are issuable to them in the future due to the differences in the purchase prices of which they purchased the ordinary shares and the warrants described above.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Should our share price exceed the respective conversion price of the debt obligations held or respective exercise price of the specific warrant held, the Selling Securityholders may experience potential profit upon the conversion of our outstanding debt obligations or the exercise of a warrant and sale of the underlying ordinary share in the amount such sale exceeds the conversion or exercise price of the underlying ordinary share.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substantial number of our securities in the public market by us or our existing securityholders could cause the market price of our ordinary shares and warrants to decline significantly.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sale of substantial amounts of ordinary shares or warrants by us or our existing securityholders, or the perception that such sales could occur, could harm the prevailing market price of our ordinary shares and warrants. These sales, or the possibility that these sales may occur, also might make it more difficult for us to sell equity securities in the future at a time and at a price that we deem appropriate. We believe the likelihood that Warrant holders will exercise the Warrants, and therefore the amount of cash proceeds that we would receive, is dependent upon the market price of our ordinary shares. If the market price for our ordinary shares is less than the respective exercise prices of the Warrants, we believe Warrant holders will be unlikely to exercise their Warrants.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ordinary shares reserved for future issuance under our equity incentive plans will become eligible for sale in the public market once those shares are issued, subject to provisions relating to vesting agreements and, in some cases, limitations on volume and manner of sale applicable to affiliates under Rule 144, as applicable. We intend to file a Form S-8 shortly after the date of this prospectus to register our ordinary shares or securities convertible into or exchangeable for ordinary shares issued pursuant to our equity incentive plans. Such Form S-8 registration statement will become effective immediately upon filing. Accordingly, shares registered under such registration statements will be available for sale in the open market once the Form S-8 is filed.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amount of ordinary shares issued in connection with an investment or acquisition could constitute a material portion of our ordinary shares. Any issuance of additional securities in connection with investments or acquisitions may result in additional dilution to our shareholders and have a negative impact on the market price of our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ordinary shares, if any, we will issue upon conversion of the Convertible Notes to the Selling Securityholders, or the actual gross proceeds resulting from exercises of the Warrants.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have the right to control the timing and amount of any conversions under the Convertible Notes. Additionally, we do not control the timing or frequency of exercises of the Warrants. The number of shares that we issue upon conversion of the Convertible Notes and/or upon exercise of Warrants, if any, will depend upon market conditions and other factors to be determined by the respective Selling Securityholder. The Selling Securityholder may ultimately decide to convert none or a portion of the principal amount of the Convertible Notes or exercise none or a portion of the Warrants.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the conversion price of certain of the Convertible Notes will fluctuate based on the market prices of our ordinary shares at the time of conversion by the Selling Securityholders pursuant to the Convertible Notes, if any, it is not possible for us to predict, as of the date of this prospectus and prior to any such sales, the purchase price per share that such Selling Securityholder will effectively pay for ordinary shares issued upon conversion under the Convertible Notes, or the aggregate gross proceeds that we will receive from any exercises of the Warrants by a Selling Securityholder.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the market price of our ordinary shares may fluctuate from time to time after the date of this prospectus and, as a result, the actual number of shares we issue to the Selling Securityholders upon conversion of the Convertible Notes and the purchase prices to be paid by the Selling Securityholder upon exercise of the Warrants, if any, also may fluctuate significantly based on the market price of our ordinary shares.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number of ordinary shares ultimately offered for sale by the Selling Securityholders is dependent upon the number of shares, if any, we ultimately issue upon conversion of the Convertible Notes and exercises of the Warrants, if any. However, even if the Selling Securityholders elect to convert the entire principal amount of the Convertible Notes and exercise all of the Warrants, the Selling Securityholder may resell all, some or none of such shares at any time or from time to time in its sole discretion and at different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ordinary shares from the Selling Securityholders at different times will likely pay different prices.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have the right to control the timing and amount of any conversions under the Convertible Notes or exercises of the Warrants by the Selling Securityholders. If and when the Selling Securityholders convert any principal amounts under the Convertible Notes or exercises any of the Warrants and has acquired our ordinary shares, the Selling Securityholders may resell all, some or none of such shares at any time or from time to time in their sole discretion and at different prices. As a result, investors who purchase shares from the Selling Securityholders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Securityholders in this offering as a result of future conversions under the Convertible Notes and exercises of the Warrants at prices lower than the prices such investors paid for their shares in this offering. In addition, if we issue a substantial number of ordinary shares to the Selling Securityholders upon conversions under the Convertible Notes or exercises of the Warrants, or if investors expect that the Selling Securityholders will convert under the Convertible Notes or exercises the Warrants, the actual issuance of shares or the mere existence of the Convertible Notes and Warrants may result in significant dilution to our current shareholders and may cause volatility in the trading price of our ordinary shares and may make it more difficult for us to sell equity or equity-related securities in the future at a time and at a price that we might otherwise wish to effect such sales.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 in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could materially and adversely affect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of our employees, including certain management members operate from our offices that are located in Tel Aviv, Israel. In addition, a number of our officers and directors are residents of Israel. Accordingly, political, economic, and military conditions in Israel and the surrounding region may directly affect our business and operations. On the military front, in recent years, Israel has been engaged in sporadic armed conflicts with Hamas, an Islamist terrorist group that controls the Gaza Strip, with Hezbollah, an Islamist terrorist group that controls large portions of southern Lebanon, and with Iranian-backed military forces in Syria. Some of these hostilities were accompanied by missiles being fired from the Gaza Strip, Lebanon and Syria against civilian targets in various parts of Israel, including areas in which our employees are located, which negatively affected business conditions in Israel. Any hostilities involving Israel, regional political instability or the interruption or curtailment of trade between Israel and its trading partners could materially and adversely affect our operations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particular, October 7, 2023, thousands of Hamas terrorists invaded Israel’s southern border from the Gaza Strip and conducted widespread brutal attacks on civilian and military targets. Hamas concurrently launched extensive rocket attacks on Israeli population and industrial centers located along Israel’s border with the Gaza Strip and in other areas within the State of Israel. These attacks resulted in thousands of deaths and injuries, and Hamas additionally kidnapped hundreds of civilians and soldiers from Israel. Following the invasion, Israel’s security cabinet declared war against Hamas and commenced a military campaign against Hamas, and terrorist organizations in parallel continued rocket and terror attacks against Israeli targets.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Israel Defense Force (the “IDF”), the national military of Israel, is a conscripted military service, subject to certain exceptions. Accordingly, many Israeli citizens are obligated to perform several weeks of annual military reserve duty each year until they reach the age of 40 (or older, for reservists who are military officers or who have certain occupations) and, in the event of a military conflict, may be called to active duty. Since the war with Hamas broke out and as of the date of this prospectus, 42 of our 321 employees served in active duty, including our CEO and CTO. Military service call ups that result in absences of personnel for an extended period of time may materially and adversely affect our business, prospects, financial condition and results of operations.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the war broke out on October 7, 2023, our operations have not been adversely affected by this situation in a material manner, and we have not experienced material disruptions to our business operations. As such, our product and business development activities remain on track. However, the intensity and duration of Israel’s current war against Hamas is difficult to predict at this stage, as are such war’s economic implications on our business and operations and on Israel’s economy in general. If the war extends for a long period of time or expands to other fronts, such as Lebanon, Syria and the West Bank, our operations may be adversely affected.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since the commencement of these events, there have been continual hostilities along Israel’s northern border with Lebanon (with the Hezbollah terror organization) and southern border (with the Houthi movement in Yemen). It is possible that hostilities with Hezbollah in Lebanon will escalate, and that other terrorist organizations, including Palestinian military organizations in the West Bank as well as other hostile countries, will join the hostilities.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 April 2024, Iran launched a direct attack on Israel involving hundreds of drones and missiles and has threatened to continue to attack Israel and is widely believed to be developing nuclear weapons. Iran is also believed to have a strong influence among extremist groups in the region, such as Hamas in Gaza, Hezbollah in Lebanon, the Houthi movement in Yemen and various rebel militia groups in Syria and Iraq. Such clashes may escalate in the future into a greater regional conflict. These situations may potentially escalate in the future to more violent events which may affect Israel and us.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armed conflicts, terrorist activities or political instability in the region could adversely affect business conditions, could harm our results of operations and could make it more difficult for us to raise capital. Parties with whom we do business may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refusing to perform their commitments under those agreements. 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Any hostilities involving Israel or the interruption or curtailment of trade between Israel and its trading partners could adversely affect our operations and results of operations.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its business. Any armed conflicts or political instability in the region would likely negatively affect business conditions and could harm our results of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political conditions within Israel may affect our operations. Israel has held five general elections between 2019 and 2022, and prior to October 2023, the Israeli government pursued extensive changes to Israel’s judicial system, which sparked extensive political debate and unrest. To date, these initiatives have been substantially put on hold.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RANKING AND OTHER INDUSTRY DATA</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“believe,” “may,” “estimate,” “continue,” “anticipate,” “intend,” “should,” “plan,” “expect,” “predict,” “potential”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previously disclosed internal investigation was initiated to review allegations of misappropriation of Company funds and other potential fraudulent actions regarding the use of Company funds by a former senior officer of the Company. As a result of or in connection with the matters that were the subject of the investigation, we may become subject to certain regulatory scrutiny, which could have a material adverse effect on our business, financial condition and results of operation.</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company with a history of net losses and anticipate that we may incur net losses for the foreseeable future. Moreover, our independent registered public accounting firm’s report, contained herein, includes an explanatory paragraph that expresses substantial doubt about our ability to continue as a going concern, indicating the possibility that we may not be able to continue to operate in the future.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that led to the failure to file our 2023 Annual Report on time, and our efforts to assess and remediate those matters have caused and may continue to cause substantial delays in our SEC filings.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currently in compliance with the continued listing standards of Nasdaq and our failure to meet the continued listing requirements of Nasdaq could result in a delisting of our securities.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financed our operations and certain capital needs through various debt, convertible debt and equity issuances. Our existing and future debt obligations could impair our liquidity and financial condition. We are currently in default under certain of our debt obligations. If we are unable to negotiate a solution for the payment of our outstanding debt or otherwise meet our debt obligations, the lenders could foreclose on our assets which could cause us to curtail or cease operations or have an adverse impact on our business, results of operations and financial condition and the price of our ordinary shares.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raise additional funds in the near future in order to execute our business plan and these funds may not be available to us when we need them. If we cannot raise additional funds when we need them, our business, prospects, financial condition and operating results could be negatively affected.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new customers, retain existing customers and sell additional services to customers could adversely impact our revenue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left="328" w:hanging="328"/>
        <w:spacing w:after="0" w:line="266"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or material changes to, our relationships with key vendors and customers could materially adversely affect our business, financial condition and operating results, which could be exacerbated due to our reliance on a small number of vendors for a significant portion of our distribution and offerings in our Professional Services division.</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that we have taken to reduce costs and rebalance investments may not result in anticipated savings or operational efficiencies, could result in total costs and expenses that are greater than expected, and could disrupt our business.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in the fields of secured data fabric and confidential computing makes it difficult to evaluate our business and future prospects and increases the risk of your investment.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network security market is rapidly evolving within the increasingly challenging cyber threat landscape. If our solutions fail to adapt to market changes and demands, sales may not continue to grow or may decline.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business could be harmed based on real or perceived shortcomings, defects or vulnerabilities in our solutions or if our customers experience security breaches, which could have a material adverse effect on our business, reputation and operating results.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features, integrations and enhancements is dependent on adequate research and development resources.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and target many customers that are large corporations and government entities, which are subject to a number of challenges and risks, such as increased competitive pressures, administrative delays and additional approval requirements.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convert our customer orders in backlog or pipeline into revenue.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shortage of components or manufacturing capacity could cause a delay in our ability to fulfill orders or increase our manufacturing costs.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 U.S. listed public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on the performance of, and we face stark competition for, highly skilled personnel, including our management, other key employees and qualified employees, and the loss of one or more of such personnel or of a significant number of our team members or the inability to attract and retain executives and qualified employees we need to support our operations and growth, could harm our business.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exposure to additional income tax liabilities could affect our future net profitability.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cybersecurity provider, if any of our systems, our customers’ cloud or on-premises environments, or our internal systems are breached or if unauthorized access to customer or third-party data is otherwise obtained, public perception of our business may be harmed, and we may lose business and incur losses or liabilities.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defects and errors may increase our costs and impair the market acceptance of our products and solutions.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intellectual property rights or prevent unauthorized parties from copying or reverse engineering our products or technology. Our efforts to protect and enforce our intellectual property rights and prevent third parties from violating our rights may be costly.</w:t>
      </w: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7" w:name="page28"/>
    <w:bookmarkEnd w:id="27"/>
    <w:p>
      <w:pPr>
        <w:jc w:val="both"/>
        <w:ind w:left="328" w:hanging="328"/>
        <w:spacing w:after="0" w:line="261"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dynamic regulatory environment around privacy and data protection may limit our offering or require modification of our products and services, which could limit our ability to attract new customers and support our existing customers and increase our operational expenses. We could also be subject to investigations, litigation, or enforcement actions alleging that we fail to comply with the regulatory requirements, which could harm our operating results and adversely affect our business.</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adequately protect personal data could subject us to sanctions and damages and could harm our reputation and business.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indemnify our directors and officers in certain circumstances.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develop or be sustained, which would adversely affect the liquidity and price of our securities.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securities class actions and other litigations and could be subject to additional litigation in the United States, Israel or elsewhere that could negatively impact our business, including resulting in substantial costs and liabilities.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action litigation due to stock price volatility or other factors could cause us to incur substantial costs and divert management’s attention and resources.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Israeli law and our articles of association may delay, prevent or make difficult an acquisition of us, prevent a change of control, and negatively impact our share price.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ordinary shares and warrants may not continue to be listed on a national securities exchange, which could limit investors’ ability to make transactions in such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cease publishing research or reports about us, our business, or our market, or if they change their recommendations regarding our ordinary shares adversely, then the price and trading volume of our ordinary shares could decline.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are a “foreign private issuer” and intend to follow certain home country corporate governance practices, our shareholders may not have the same protections afforded to shareholders of companies that are subject to all Nasdaq corporate governance requirements.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of our securities on Nasdaq did not benefit from the process undertaken in connection with an underwritten initial public offering, which could result in diminished investor demand, inefficiencies in pricing and a more volatile public price for our securities.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Israel, including the current war between Israel and Hamas, could materially and adversely affect our business.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enforce a U.S. judgment against us, our officers and directors and the Israeli experts named in the 2023 Annual Report in Israel or the United States, or to assert U.S. securities laws claims in Israel or serve process on our officers and directors and these experts.</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ordinary shares or other equity securities without seeking approval of our shareholders, which would dilute the ownership interests represented by our ordinary shares and may depress the market price of our ordinary shares.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previously disclosed internal investigation was initiated to review allegations of misappropriation of Company funds and other potential fraudulent actions regarding the use of Company funds by a former senior officer of the Company. As a result of or in connection with the matters that were the subject of the investigation, we may become subject to certain regulatory scrutiny. In addition, we have incurred and may continue to incur substantial costs in connection with the internal investigation, which could have a material adverse effect on our business, financial condition and results of operations.</w:t>
      </w:r>
    </w:p>
    <w:p>
      <w:pPr>
        <w:spacing w:after="0" w:line="3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8" w:name="page29"/>
    <w:bookmarkEnd w:id="28"/>
    <w:p>
      <w:pPr>
        <w:jc w:val="both"/>
        <w:ind w:left="328" w:right="20" w:hanging="328"/>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company with a history of net losses and anticipate that we may incur net losses for the foreseeable future. Moreover, our independent registered public accounting firm’s report, contained herein, includes an explanatory paragraph that expresses substantial doubt about our ability to continue as a going concern, indicating the possibility that we may not be able to continue to operate in the future.</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that led to the failure to file our 2023 Annual Report on time, and our efforts to investigate, assess and remediate those matters have caused and may continue to cause substantial delays in our SEC filings.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financed our operations and certain capital needs through various debt, convertible debt and equity issuances. Our existing and future debt obligations could impair our liquidity and financial condition. We are currently in default under certain of our debt obligations. If we are unable to negotiate a solution for the payment of our outstanding debt or otherwise meet our debt obligations, the lenders could foreclose on our assets which could cause us to curtail or cease operations or have an adverse impact on our business, results of operations and financial condition and the price of our ordinary shares.</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likely be required to raise additional funds in the near future in order to execute our business plan and these funds may not be available to us when we need them. If we cannot raise additional funds when we need them, our business, prospects, financial condition and operating results could be negatively affected.</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new customers, retain existing customers and sell additional services to customers could adversely impact our revenue and results of operations.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or material changes to, our relationships with key vendors could materially adversely affect our business, financial condition and operating results, which could be exacerbated due to our reliance on a small number of vendors for a significant portion of our distribution and offerings in our Professional Services division.</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that we have taken to reduce costs and rebalance investments may not result in anticipated savings or operational efficiencies, could result in total costs and expenses that are greater than expected, and could disrupt our business.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in the field of confidential computing makes it difficult to evaluate our business and future prospects and increases the risk of your investment.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network security market is rapidly evolving within the increasingly challenging cyber threat landscape. If our solutions fail to adapt to market changes and demands, sales may not continue to grow or may decline.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business could be harmed based on real or perceived shortcomings, defects or vulnerabilities in our solutions or if our customers experience security breaches, which could have a material adverse effect on our business, reputation and operating results.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features, integrations and enhancements is dependent on adequate research and development resources.</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9" w:name="page30"/>
    <w:bookmarkEnd w:id="29"/>
    <w:p>
      <w:pPr>
        <w:ind w:left="328" w:right="20" w:hanging="328"/>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and target many customers that are large corporations and government entities, which are subject to a number of challenges and risks, such as increased competitive pressures, administrative delays and additional approval requirements.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convert our customer orders in backlog or pipeline into revenue.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shortage of components or manufacturing capacity could cause a delay in our ability to fulfill orders or increase our manufacturing costs.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 U.S. listed public company.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on the performance of, and we face stark competition for, highly skilled personnel, including our management, other key employees and qualified employees, and the loss of one or more of such personnel or of a significant number of our team members or the inability to attract and retain executives and qualified employees we need to support our operations and growth, could harm our business.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exposure to additional income tax liabilities could affect our future profitability.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cybersecurity provider, if any of our systems, our customers’ cloud or on-premises environments, or our internal systems are breached or if unauthorized access to customer or third-party data is otherwise obtained, public perception of our business may be harmed, and we may lose business and incur losses or liabilities.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defects and errors may increase our costs and impair the market acceptance of our products and solutions.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intellectual property rights or prevent unauthorized parties from copying or reverse engineering our products or technology. Our efforts to protect and enforce our intellectual property rights and prevent third parties from violating our rights may be costly.</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dynamic regulatory environment around privacy and data protection may limit our offering or require modification of our products and services, which could limit our ability to attract new customers and support our existing customers and increase our operational expenses. We could also be subject to investigations, litigation, or enforcement actions alleging that we fail to comply with the regulatory requirements, which could harm our operating results and adversely affect our business.</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adequately protect personal data could subject us to sanctions and damages and could harm our reputation and business.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indemnify our directors and officers in certain circumstances.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develop or be sustained, which would adversely affect the liquidity and price of our securities.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securities class actions and other litigations and could be subject to additional litigation in the United States, Israel or elsewhere that could negatively impact our business, including resulting in substantial costs and liabilities.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Israeli law and our articles of association may delay, prevent or make difficult an acquisition of us, prevent a change of control, and negatively impact our share price.</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0" w:name="page31"/>
    <w:bookmarkEnd w:id="30"/>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ordinary shares and warrants may not continue to be listed on a national securities exchange, which could limit investors’ ability to make transactions in such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cease publishing research or reports about us, our business, or our market, or if they change their recommendations regarding our ordinary shares adversely, then the price and trading volume of our ordinary shares could decline.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are a “foreign private issuer” and intend to follow certain home country corporate governance practices, our shareholders may not have the same protections afforded to shareholders of companies that are subject to all Nasdaq corporate governance requirements.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of our securities on Nasdaq did not benefit from the process undertaken in connection with an underwritten initial public offering, which could result in diminished investor demand, inefficiencies in pricing and a more volatile public price for our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Israel could materially and adversely affect our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enforce a U.S. judgment against us, our officers and directors and any of our Israeli experts named in Israel or the United States, or to assert U.S. securities laws claims in Israel or serve process on our officers and directors and these experts.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ordinary shares or other equity securities without seeking approval of our shareholders, which would dilute the ownership interests represented by our ordinary shares and may depress the market price of our ordinary shares; and</w:t>
      </w:r>
    </w:p>
    <w:p>
      <w:pPr>
        <w:spacing w:after="0" w:line="15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matters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15 and in the documents incorporated by reference into this prospectus.</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caution you against placing undue reliance on forward-looking statements, which reflect current beliefs and are based on information currently available as of the date a forward-looking statement is made. Forward-looking statements set forth herein speak only as of the date of this prospectus. We undertake no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For additional information, please see the section titled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 Incorporation of Information by Reference</w:t>
      </w:r>
      <w:r>
        <w:rPr>
          <w:rFonts w:ascii="Times New Roman" w:cs="Times New Roman" w:eastAsia="Times New Roman" w:hAnsi="Times New Roman"/>
          <w:sz w:val="18"/>
          <w:szCs w:val="18"/>
          <w:color w:val="auto"/>
        </w:rPr>
        <w:t>” elsewhere in this prospectus.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Market, ranking and industry data used throughout this prospectus, including statements regarding market size and technology adoption rates, is based on the good faith estimates of our management, which in turn are based upon our management’s review of internal surveys, independent industry surveys and publications including third party research and publicly available information. These data involve a number of assumptions and limitations, and you are cautioned not to give undue weight to such estimates. While we are not aware of any misstatements regarding the industry data presented herein, our estimates involve risks and uncertainties and are subject to change based on various factors, including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in and “</w:t>
      </w:r>
      <w:r>
        <w:rPr>
          <w:rFonts w:ascii="Times New Roman" w:cs="Times New Roman" w:eastAsia="Times New Roman" w:hAnsi="Times New Roman"/>
          <w:sz w:val="18"/>
          <w:szCs w:val="18"/>
          <w:i w:val="1"/>
          <w:iCs w:val="1"/>
          <w:color w:val="auto"/>
        </w:rPr>
        <w:t>Risk Factors”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 in our 2023 Annual Report on Form 20-F incorporated by reference into this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receive up to an aggregate of approximately $40.6 million from the exercise of the Warrants, assuming the exercise in full of all the Warrants for cash at the lowest exercise price.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Warrants are exercised pursuant to a cashless exercise feature, we will not receive any cash from these exercises. We expect to use the net proceeds from the exercise of the Warrants, if any, for general corporate purposes. Our management will have broad discretion over the use of proceeds from the exercise of the Warrants. There is no assurance that the holders of the warrants will elect to exercise any or all of the Warrants. To the extent that the Warrants are exercised on a “cashless basis,” the amount of cash we would receive from the exercise of the Warrants will decrease. We believe the likelihood that warrant holders will exercise their Warrants, and therefore the amount of cash proceeds that we would receive, is dependent upon the market price of our ordinary shares. If the market price for our ordinary shares is less than the respective exercise prices for the Warrants, we believe warrant holders will be unlikely to exercise their Warrants. As of September 12, 2024, the closing price of our ordinary shares was $0.48 per share.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the ordinary shares offered by the Selling Securityholders pursuant to this prospectus will be sold by the Selling Securityholders for their respective accounts. We will not receive any of the proceeds from these sales.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September 12, 2024 by:</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who is the beneficial owner of 5% or more of our outstanding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individually;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of September 12, 2024. Unless otherwise indicated, we believe that all persons named in the table have sole voting and investment power with respect to all ordinary shares (of the applicable type) beneficially owned by them.</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Except as otherwise noted herein, the number and percentage of our ordinary shares beneficially owned is determined in accordance with Rule 13d-3 of the Exchange Act, and the information is not necessarily indicative of beneficial ownership for any other purpose. Under such rule, beneficial ownership includes any of our ordinary shares as to which the holder has sole or shared voting power or investment power and also any of our ordinary shares which the holder has the right to acquire within 60 days of September 12, 2024, through the exercise of any option, warrant or any other right. The column entitled “Percentage of Voting Power” reflects the overall voting power of a given shareholder based on the composition of his, her or its share ownership.</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description of any material relationship that our principal shareholders have had with us or any of our affiliates within the past three years is included in our Annual Report on Form 20-F under “Certain Relationships and Related Party Transactions” filed with the SEC on August 16,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Unless otherwise noted below, each shareholder’s address is 2 Kaplan Street, Tel Aviv, Israel 6473403.</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0"/>
        </w:trPr>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and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60" w:type="dxa"/>
            <w:vAlign w:val="bottom"/>
          </w:tcPr>
          <w:p>
            <w:pPr>
              <w:spacing w:after="0"/>
              <w:rPr>
                <w:sz w:val="18"/>
                <w:szCs w:val="18"/>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60" w:type="dxa"/>
            <w:vAlign w:val="bottom"/>
          </w:tcPr>
          <w:p>
            <w:pPr>
              <w:spacing w:after="0"/>
              <w:rPr>
                <w:sz w:val="18"/>
                <w:szCs w:val="18"/>
                <w:color w:val="auto"/>
              </w:rPr>
            </w:pP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0" w:type="dxa"/>
            <w:vAlign w:val="bottom"/>
          </w:tcPr>
          <w:p>
            <w:pPr>
              <w:spacing w:after="0"/>
              <w:rPr>
                <w:sz w:val="21"/>
                <w:szCs w:val="21"/>
                <w:color w:val="auto"/>
              </w:rPr>
            </w:pPr>
          </w:p>
        </w:tc>
      </w:tr>
      <w:tr>
        <w:trPr>
          <w:trHeight w:val="216"/>
        </w:trPr>
        <w:tc>
          <w:tcPr>
            <w:tcW w:w="8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HUB:</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Noah Hershcoviz (1)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397,532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Lior Davidsohn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Osher Partok Rheinisch (2)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155,621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Nachman Geva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Kasbian Nuriel Chirich (3)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38,849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Lior Lurye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Ilan Flato (4)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Uzi Moskovich (5)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133,177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Kearney (6)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69,369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(9 individuals)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832,048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(1%) of our outstanding ordinary shares.</w:t>
      </w:r>
    </w:p>
    <w:p>
      <w:pPr>
        <w:spacing w:after="0" w:line="27" w:lineRule="exact"/>
        <w:rPr>
          <w:sz w:val="20"/>
          <w:szCs w:val="20"/>
          <w:color w:val="auto"/>
        </w:rPr>
      </w:pPr>
    </w:p>
    <w:p>
      <w:pPr>
        <w:jc w:val="both"/>
        <w:ind w:left="340" w:hanging="332"/>
        <w:spacing w:after="0" w:line="25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60,000 restricted share units, and (ii) 277,005 ordinary shares and warrants to purchase 60,527 Ordinary Shares held by The 12.64 Fund, of which Mr. Hershcoviz is Managing General Partner. Mr. Hershcoviz disclaims beneficial ownership of such ordinary shares except to the extent of his pecuniary interest therein. Does not include (i) 140,000 restricted share units, and (ii) 300,000 performance share units, each of which have been granted, but have not yet vested.</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155,621 restricted share units. Does not include (i) 65,622 restricted share units and (ii) 50,000 performance share units, each of which have been granted, but have not vested.</w:t>
      </w:r>
    </w:p>
    <w:p>
      <w:pPr>
        <w:jc w:val="both"/>
        <w:ind w:left="340" w:hanging="332"/>
        <w:spacing w:after="0" w:line="25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1,349 ordinary shares, and (ii) 37,500 restricted share units. Does not include 18,750 restricted share units, which have been granted, but have not yet vested and 5,000 ordinary shares that have not yet been issued pursuant to an agreement that Kasbian Nuriel Chirich entered into with the Company in January 2023.</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37,500 restricted share units. Does not include 18,750 restricted share units, which have been granted, but have not yet vested.</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13,177 ordinary shares issuable upon exercise of options, and (ii) 120,000 restricted share units. Does not include 80,000 restricted share units, which have been granted, but have not vested.</w:t>
      </w:r>
    </w:p>
    <w:p>
      <w:pPr>
        <w:ind w:left="340" w:hanging="332"/>
        <w:spacing w:after="0" w:line="26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31,194 ordinary shares, (ii) 37,500 restricted share units, and (iii) 675 ordinary shares issuable upon the exercise of 8,990 Private Warrants. Does not include 18,750 restricted share units, which have been granted, but have not vested.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Securityholders of up to 49,253,117 ordinary shares and 11,687 Private Warrants by the Selling Securityholders.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ordinary shares and warrants set forth below pursuant to this prospectus. In this prospectus, the term “Selling Securityholders” includes (i) the entities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securities covered by this prospectus after the date of this prospectus from the named Selling Securityholders as a gift, pledge, partnership distribution or other non-sale related transfer.</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table below sets forth, as of the date of this prospectus, the name of the Selling Securityholders for which we are registering ordinary shares and warrants for resale to the public. The percentage of ownership in the table below is based on 30,459,736 ordinary shares outstanding as of September 12, 2024. The table is prepared based on information supplied to us by the Selling Securityholders, and reflects their holdings as of September 12, 2024, disregarding any limitations on conversion or exercises.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SEC rules, individuals and entities below are shown as having beneficial ownership over shares they own or have the right to acquire within 60 days, as well as shares for which they have the right to vote or dispose of such shares. Also in accordance with SEC rules, for purposes of calculating percentages of beneficial ownership, shares which a person has the right to acquire within 60 days of September 12, 2024 are included both in that person’s beneficial ownership as well as in the total number of shares issued and outstanding used to calculate that person’s percentage ownership but not for purposes of calculating the percentage for other persons. In some cases, the same ordinary shares are reflected more than once in the table below because more than one holder may be deemed the beneficial owner of the same ordinary shares.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securities. In addition, the Selling Securityholders may sell, transfer or otherwise dispose of, at any time and from time to time, the ordinary shares or warrants in transactions exempt from the registration requirements of the Securities Act after the date of this prospectus, subject to applicable law.</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ordinary shares and warrants registered on its behalf. A Selling Securityholder may sell all, some or none of such securities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in the table below is based upon information provided by the Selling Securityholders. The securities owned by the Selling Securityholders named below do not have voting rights different from the securities owned by other securityholders.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Securities Beneficially</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4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Securities Beneficially</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Owned prior to this</w:t>
            </w:r>
          </w:p>
        </w:tc>
        <w:tc>
          <w:tcPr>
            <w:tcW w:w="248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Securities to be</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Owned after this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300" w:type="dxa"/>
            <w:vAlign w:val="bottom"/>
          </w:tcPr>
          <w:p>
            <w:pPr>
              <w:spacing w:after="0"/>
              <w:rPr>
                <w:sz w:val="21"/>
                <w:szCs w:val="21"/>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Offered in this Offering</w:t>
            </w:r>
          </w:p>
        </w:tc>
        <w:tc>
          <w:tcPr>
            <w:tcW w:w="2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Times New Roman" w:cs="Times New Roman" w:eastAsia="Times New Roman" w:hAnsi="Times New Roman"/>
                <w:sz w:val="18"/>
                <w:szCs w:val="18"/>
                <w:b w:val="1"/>
                <w:bCs w:val="1"/>
                <w:color w:val="auto"/>
              </w:rPr>
              <w:t>Ordinary</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Times New Roman" w:cs="Times New Roman" w:eastAsia="Times New Roman" w:hAnsi="Times New Roman"/>
                <w:sz w:val="18"/>
                <w:szCs w:val="18"/>
                <w:b w:val="1"/>
                <w:bCs w:val="1"/>
                <w:color w:val="auto"/>
              </w:rPr>
              <w:t>Ordinary</w:t>
            </w: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2"/>
              </w:rPr>
              <w:t>Warrants</w:t>
            </w:r>
            <w:r>
              <w:rPr>
                <w:rFonts w:ascii="Times New Roman" w:cs="Times New Roman" w:eastAsia="Times New Roman" w:hAnsi="Times New Roman"/>
                <w:sz w:val="29"/>
                <w:szCs w:val="29"/>
                <w:b w:val="1"/>
                <w:bCs w:val="1"/>
                <w:color w:val="auto"/>
                <w:w w:val="92"/>
                <w:vertAlign w:val="superscript"/>
              </w:rPr>
              <w:t>(2)</w:t>
            </w:r>
          </w:p>
        </w:tc>
        <w:tc>
          <w:tcPr>
            <w:tcW w:w="1140" w:type="dxa"/>
            <w:vAlign w:val="bottom"/>
            <w:gridSpan w:val="2"/>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Ordinary</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Names and Addresses</w:t>
            </w:r>
          </w:p>
        </w:tc>
        <w:tc>
          <w:tcPr>
            <w:tcW w:w="80" w:type="dxa"/>
            <w:vAlign w:val="bottom"/>
          </w:tcPr>
          <w:p>
            <w:pPr>
              <w:spacing w:after="0"/>
              <w:rPr>
                <w:sz w:val="23"/>
                <w:szCs w:val="23"/>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80" w:type="dxa"/>
            <w:vAlign w:val="bottom"/>
          </w:tcPr>
          <w:p>
            <w:pPr>
              <w:spacing w:after="0"/>
              <w:rPr>
                <w:sz w:val="23"/>
                <w:szCs w:val="23"/>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5"/>
              </w:rPr>
              <w:t>Warrants</w:t>
            </w:r>
          </w:p>
        </w:tc>
        <w:tc>
          <w:tcPr>
            <w:tcW w:w="1280" w:type="dxa"/>
            <w:vAlign w:val="bottom"/>
            <w:gridSpan w:val="2"/>
          </w:tcPr>
          <w:p>
            <w:pPr>
              <w:jc w:val="right"/>
              <w:ind w:right="480"/>
              <w:spacing w:after="0" w:line="270" w:lineRule="exact"/>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29"/>
                <w:szCs w:val="29"/>
                <w:b w:val="1"/>
                <w:bCs w:val="1"/>
                <w:color w:val="auto"/>
                <w:vertAlign w:val="superscript"/>
              </w:rPr>
              <w:t>(1)</w:t>
            </w:r>
          </w:p>
        </w:tc>
        <w:tc>
          <w:tcPr>
            <w:tcW w:w="1200" w:type="dxa"/>
            <w:vAlign w:val="bottom"/>
            <w:gridSpan w:val="2"/>
            <w:vMerge w:val="continue"/>
          </w:tcPr>
          <w:p>
            <w:pPr>
              <w:spacing w:after="0"/>
              <w:rPr>
                <w:sz w:val="23"/>
                <w:szCs w:val="23"/>
                <w:color w:val="auto"/>
              </w:rPr>
            </w:pPr>
          </w:p>
        </w:tc>
        <w:tc>
          <w:tcPr>
            <w:tcW w:w="11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5"/>
              </w:rPr>
              <w:t>Warrants</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Kearney</w:t>
            </w:r>
          </w:p>
        </w:tc>
        <w:tc>
          <w:tcPr>
            <w:tcW w:w="8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69,369(3)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8,990(4)</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31,869(5)</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8,990(4)</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37,500(6)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Young Cho</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2,697(8)</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203(7)</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2,697(8)</w:t>
            </w: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Lind Global Asset Management VI</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2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(9)</w:t>
            </w:r>
          </w:p>
        </w:tc>
        <w:tc>
          <w:tcPr>
            <w:tcW w:w="128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-(10)</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892,857(11)</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892,857(12)</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Tamas Gottdiener</w:t>
            </w:r>
            <w:r>
              <w:rPr>
                <w:rFonts w:ascii="Times New Roman" w:cs="Times New Roman" w:eastAsia="Times New Roman" w:hAnsi="Times New Roman"/>
                <w:sz w:val="29"/>
                <w:szCs w:val="29"/>
                <w:color w:val="auto"/>
                <w:vertAlign w:val="superscript"/>
              </w:rPr>
              <w:t>(13)</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34,112,828(14)</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33,897,778(15)</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215,050(16)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Hybrid Financial Ltd.</w:t>
            </w:r>
            <w:r>
              <w:rPr>
                <w:rFonts w:ascii="Times New Roman" w:cs="Times New Roman" w:eastAsia="Times New Roman" w:hAnsi="Times New Roman"/>
                <w:sz w:val="29"/>
                <w:szCs w:val="29"/>
                <w:color w:val="auto"/>
                <w:vertAlign w:val="superscript"/>
              </w:rPr>
              <w:t>(17)</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454,545</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454,545</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Elyakim Kislev</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71,528</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71,028</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500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Gleneagle Securities Nominees Pty</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2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9"/>
                <w:szCs w:val="29"/>
                <w:color w:val="auto"/>
                <w:vertAlign w:val="superscript"/>
              </w:rPr>
              <w:t>(18)</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4,810,715(19)</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4,810,715(19)</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Claymore Capital Pty Ltd</w:t>
            </w:r>
            <w:r>
              <w:rPr>
                <w:rFonts w:ascii="Times New Roman" w:cs="Times New Roman" w:eastAsia="Times New Roman" w:hAnsi="Times New Roman"/>
                <w:sz w:val="29"/>
                <w:szCs w:val="29"/>
                <w:color w:val="auto"/>
                <w:vertAlign w:val="superscript"/>
              </w:rPr>
              <w:t>(20)</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4,737,535(21)</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4,737,535(21)</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Arijam Pty Ltd ATF Alster Family</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2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(22)</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962,143(23)</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962,143(23)</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Henri Arthur Paul Veron</w:t>
            </w:r>
            <w:r>
              <w:rPr>
                <w:rFonts w:ascii="Times New Roman" w:cs="Times New Roman" w:eastAsia="Times New Roman" w:hAnsi="Times New Roman"/>
                <w:sz w:val="29"/>
                <w:szCs w:val="29"/>
                <w:color w:val="auto"/>
                <w:vertAlign w:val="superscript"/>
              </w:rPr>
              <w:t>(24)</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769,715(25)</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769,715(25)</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Cogent Limited</w:t>
            </w:r>
            <w:r>
              <w:rPr>
                <w:rFonts w:ascii="Times New Roman" w:cs="Times New Roman" w:eastAsia="Times New Roman" w:hAnsi="Times New Roman"/>
                <w:sz w:val="29"/>
                <w:szCs w:val="29"/>
                <w:color w:val="auto"/>
                <w:vertAlign w:val="superscript"/>
              </w:rPr>
              <w:t>(26)</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577,286(27)</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577,286(27)</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Mark Lyttlton</w:t>
            </w:r>
            <w:r>
              <w:rPr>
                <w:rFonts w:ascii="Times New Roman" w:cs="Times New Roman" w:eastAsia="Times New Roman" w:hAnsi="Times New Roman"/>
                <w:sz w:val="29"/>
                <w:szCs w:val="29"/>
                <w:color w:val="auto"/>
                <w:vertAlign w:val="superscript"/>
              </w:rPr>
              <w:t>(28)</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596,529(29)</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596,529(29)</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Jonathan James Kent</w:t>
            </w:r>
            <w:r>
              <w:rPr>
                <w:rFonts w:ascii="Times New Roman" w:cs="Times New Roman" w:eastAsia="Times New Roman" w:hAnsi="Times New Roman"/>
                <w:sz w:val="29"/>
                <w:szCs w:val="29"/>
                <w:color w:val="auto"/>
                <w:vertAlign w:val="superscript"/>
              </w:rPr>
              <w:t>(30)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384,858(31)</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384,858(31)</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Hirsch Financial Pty Ltd</w:t>
            </w:r>
            <w:r>
              <w:rPr>
                <w:rFonts w:ascii="Times New Roman" w:cs="Times New Roman" w:eastAsia="Times New Roman" w:hAnsi="Times New Roman"/>
                <w:sz w:val="29"/>
                <w:szCs w:val="29"/>
                <w:color w:val="auto"/>
                <w:vertAlign w:val="superscript"/>
              </w:rPr>
              <w:t>(32)</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269,400(33)</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269,400(33)</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Melanie Bome</w:t>
            </w:r>
            <w:r>
              <w:rPr>
                <w:rFonts w:ascii="Times New Roman" w:cs="Times New Roman" w:eastAsia="Times New Roman" w:hAnsi="Times New Roman"/>
                <w:sz w:val="29"/>
                <w:szCs w:val="29"/>
                <w:color w:val="auto"/>
                <w:vertAlign w:val="superscript"/>
              </w:rPr>
              <w:t>(34)</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269,400(35)</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269,400(35)</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Foxglove Capital Pty Ltd</w:t>
            </w:r>
            <w:r>
              <w:rPr>
                <w:rFonts w:ascii="Times New Roman" w:cs="Times New Roman" w:eastAsia="Times New Roman" w:hAnsi="Times New Roman"/>
                <w:sz w:val="29"/>
                <w:szCs w:val="29"/>
                <w:color w:val="auto"/>
                <w:vertAlign w:val="superscript"/>
              </w:rPr>
              <w:t>(36)</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192,429(37)</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192,429(37)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Findon Nominees Pty Ltd</w:t>
            </w:r>
            <w:r>
              <w:rPr>
                <w:rFonts w:ascii="Times New Roman" w:cs="Times New Roman" w:eastAsia="Times New Roman" w:hAnsi="Times New Roman"/>
                <w:sz w:val="29"/>
                <w:szCs w:val="29"/>
                <w:color w:val="auto"/>
                <w:vertAlign w:val="superscript"/>
              </w:rPr>
              <w:t>(38)</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153,943(39)</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153,943(39)</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J&amp;H MacCulloch Trust</w:t>
            </w:r>
            <w:r>
              <w:rPr>
                <w:rFonts w:ascii="Times New Roman" w:cs="Times New Roman" w:eastAsia="Times New Roman" w:hAnsi="Times New Roman"/>
                <w:sz w:val="29"/>
                <w:szCs w:val="29"/>
                <w:color w:val="auto"/>
                <w:vertAlign w:val="superscript"/>
              </w:rPr>
              <w:t>(40)</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123,155(41)</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123,155(41)</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Gregory William Silver</w:t>
            </w:r>
            <w:r>
              <w:rPr>
                <w:rFonts w:ascii="Times New Roman" w:cs="Times New Roman" w:eastAsia="Times New Roman" w:hAnsi="Times New Roman"/>
                <w:sz w:val="29"/>
                <w:szCs w:val="29"/>
                <w:color w:val="auto"/>
                <w:vertAlign w:val="superscript"/>
              </w:rPr>
              <w:t>(42)</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57,729(43)</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57,729(43)</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460" w:hanging="452"/>
        <w:spacing w:after="0" w:line="260"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this column are the number of ordinary shares that may be offered by such Selling Securityholder using this prospectus. These amounts do not represent any other of our ordinary shares that the Selling Securityholder may own beneficially or otherwise.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0" w:gutter="0" w:footer="0" w:header="0"/>
        </w:sectPr>
      </w:pPr>
    </w:p>
    <w:bookmarkStart w:id="34" w:name="page35"/>
    <w:bookmarkEnd w:id="34"/>
    <w:p>
      <w:pPr>
        <w:ind w:left="460" w:right="20" w:hanging="452"/>
        <w:spacing w:after="0" w:line="261"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this column are the number of warrants that may be offered by such Selling Securityholder using this prospectus. These amounts do not represent any other warrants that the Selling Securityholder may own beneficially or otherwise.</w:t>
      </w:r>
    </w:p>
    <w:p>
      <w:pPr>
        <w:ind w:left="460" w:right="2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69,369 ordinary shares including: (a) 31,194 ordinary shares held directly by the Selling Securityholder, (b) 37,500 vested restricted share units and (c) 675 ordinary shares issuable upon the exercise of 8,990 Private Warrants.</w:t>
      </w: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8,990 Private Warrants.</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31,869 ordinary shares including: (a) 31,194 ordinary shares held directly by the Selling Securityholder and (b) 675 ordinary shares issuable upon the exercise of 8,990 Private Warrants.</w:t>
      </w: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37,500 vested restricted share units.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203 ordinary shares issuable upon the exercise of 2,697 Private Warrants.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2,697 Private Warrants.</w:t>
      </w:r>
    </w:p>
    <w:p>
      <w:pPr>
        <w:spacing w:after="0" w:line="9"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 Global Asset Management VI, LLC (“Lind”) may not convert or exercise, as applicable, any portion of the Lind Convertible Notes or the Lind Warrants to the extent such conversion or exercise would cause Lind, together with its affiliates, to beneficially own a number of ordinary shares which would exceed 4.99% of our then outstanding ordinary shares (or 9.99% of our then outstanding ordinary shares to the extent Lind, together with its affiliates, beneficially owns in excess of 4.99% of shares of our then outstanding ordinary shares at the time of such conversion).</w:t>
      </w:r>
    </w:p>
    <w:p>
      <w:pPr>
        <w:spacing w:after="0" w:line="1" w:lineRule="exact"/>
        <w:rPr>
          <w:rFonts w:ascii="Times New Roman" w:cs="Times New Roman" w:eastAsia="Times New Roman" w:hAnsi="Times New Roman"/>
          <w:sz w:val="18"/>
          <w:szCs w:val="18"/>
          <w:color w:val="auto"/>
        </w:rPr>
      </w:pPr>
    </w:p>
    <w:p>
      <w:pPr>
        <w:jc w:val="both"/>
        <w:ind w:left="4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beneficially owned by Lind are directly owned by Lind. Jeff Easton is the Managing Member of The Lind Partners, LLC, which is the Investment Manager of Lind, and in such capacity has the right to vote and dispose of the securities held by such entities. Mr. Easton disclaims beneficial ownership over the securities listed except to the extent of his pecuniary interest therein. The address for Lind is 444 Madison Avenue, 41st Floor, New York, NY 10022.</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convertible notes for $930,000.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892,857 ordinary shares issuable upon the exercise of 892,857 Lind Warrants.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convertible notes for $930,000.</w:t>
      </w:r>
    </w:p>
    <w:p>
      <w:pPr>
        <w:spacing w:after="0" w:line="9"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Tamas Gottdiener may not convert or exercise, as applicable, any portion of the March-June 2024 Convertible Notes or the March-June 2024 Warrants to the extent such conversion or exercise would cause Mr. Gottdiener, together with his affiliates, to beneficially own a number of ordinary shares which would exceed 4.99% of our then outstanding ordinary shares.</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34,112,828 ordinary shares including: (a) 215,050 ordinary shares held directly by the Selling Securityholder, (b) 22,453,334 ordinary shares issuable upon the conversion of the March-June 2024 Convertible Notes (assuming a conversion price of $0.50 and maximum accrued interest through September 24, 2024), and (c) 11,444,444 ordinary shares issuable upon the exercise of 11,444,444 March-June 2024 Warrants.</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33,897,778 ordinary shares including: (a) 22,453,334 ordinary shares issuable upon the conversion of the March-June 2024 Convertible Notes assuming a conversion price of $0.50 and maximum accrued interest through September 24, 2024, and (b) 11,444,444 ordinary shares issuable upon the exercise of 11,444,444 March-June 2024 Warrants.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215,050 ordinary shares held directly by the Selling Securityholder.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beneficially owned by Hybrid Financial Ltd. (“Hybrid”) are directly owned by Hybrid.</w:t>
      </w:r>
    </w:p>
    <w:p>
      <w:pPr>
        <w:spacing w:after="0" w:line="9" w:lineRule="exact"/>
        <w:rPr>
          <w:rFonts w:ascii="Times New Roman" w:cs="Times New Roman" w:eastAsia="Times New Roman" w:hAnsi="Times New Roman"/>
          <w:sz w:val="18"/>
          <w:szCs w:val="18"/>
          <w:color w:val="auto"/>
        </w:rPr>
      </w:pPr>
    </w:p>
    <w:p>
      <w:pPr>
        <w:jc w:val="both"/>
        <w:ind w:left="4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Marshall is the Chief Executive Officer of Hybrid, and in such capacity has the right to vote and dispose of the securities held by such entities. Mr. Marshall disclaims beneficial ownership over the securities listed except to the extent of his pecuniary interest therein. The address for Hybrid is 222 Bay St. Suite 2600, Toronto, ON M5K 1B7.</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Gleneagle Securities Nominees Pty Limited (“Gleneagle”) may not convert or exercise, as applicable, its August 2024 Convertible Note or August 2024 Warrant to the extent such conversion or exercise would cause Gleneagle, together with its affiliates, to beneficially own a number of ordinary shares which would exceed 4.99% of our then outstanding ordinary shares.</w:t>
      </w:r>
    </w:p>
    <w:p>
      <w:pPr>
        <w:spacing w:after="0" w:line="1" w:lineRule="exact"/>
        <w:rPr>
          <w:rFonts w:ascii="Times New Roman" w:cs="Times New Roman" w:eastAsia="Times New Roman" w:hAnsi="Times New Roman"/>
          <w:sz w:val="18"/>
          <w:szCs w:val="18"/>
          <w:color w:val="auto"/>
        </w:rPr>
      </w:pPr>
    </w:p>
    <w:p>
      <w:pPr>
        <w:jc w:val="both"/>
        <w:ind w:left="4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beneficially owned by Gleneagle are directly owned by Gleneagle. Lance Rosenberg is the Sole Director of Gleneagle, and in such capacity has the right to vote and dispose of the securities held by such entities. The address for Gleneagle is Level 27, 25 Bligh St., Sydney, NSW 2000 Australia.</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4,810,715 ordinary shares including: (a) 3,025,000 ordinary shares issuable upon the conversion of an August 2024 Convertible Note, and (b) 1,785,715 ordinary shares issuable upon the exercise of an August 2024 Warrant.</w:t>
      </w:r>
    </w:p>
    <w:p>
      <w:pPr>
        <w:jc w:val="both"/>
        <w:ind w:left="4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Claymore Capital Pty Ltd (“Claymore”) may not convert or exercise, as applicable, its August 2024 Convertible Note or its August 2024 Warrant to the extent such conversion or exercise would cause Claymore, together with its affiliates, to beneficially own a number of ordinary shares which would exceed 4.99% of our then outstanding ordinary shares.</w:t>
      </w:r>
    </w:p>
    <w:p>
      <w:pPr>
        <w:spacing w:after="0" w:line="1" w:lineRule="exact"/>
        <w:rPr>
          <w:rFonts w:ascii="Times New Roman" w:cs="Times New Roman" w:eastAsia="Times New Roman" w:hAnsi="Times New Roman"/>
          <w:sz w:val="18"/>
          <w:szCs w:val="18"/>
          <w:color w:val="auto"/>
        </w:rPr>
      </w:pPr>
    </w:p>
    <w:p>
      <w:pPr>
        <w:jc w:val="both"/>
        <w:ind w:left="4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beneficially owned by Claymore are directly owned by Claymore. Sharron Rosenberg is the Director of Claymore, and in such capacity has the right to vote and dispose of the securities held by such entities. Mr. Rosenberg disclaims beneficial ownership over the securities listed except to the extent of his pecuniary interest therein. The address for Claymore is Level 27, 25 Bligh St., Sydney, NSW 2000 Australia.</w:t>
      </w:r>
    </w:p>
    <w:p>
      <w:pPr>
        <w:spacing w:after="0" w:line="1" w:lineRule="exact"/>
        <w:rPr>
          <w:rFonts w:ascii="Times New Roman" w:cs="Times New Roman" w:eastAsia="Times New Roman" w:hAnsi="Times New Roman"/>
          <w:sz w:val="18"/>
          <w:szCs w:val="18"/>
          <w:color w:val="auto"/>
        </w:rPr>
      </w:pPr>
    </w:p>
    <w:p>
      <w:pPr>
        <w:jc w:val="both"/>
        <w:ind w:left="460" w:right="2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4,737,535 ordinary shares including: (a) 2,282,060 ordinary shares issuable upon the conversion of an August 2024 Convertible Note, (b) 1,347,143 ordinary shares issuable upon the exercise of an August 2024 Warrant, and (c) 1,108,332 ordinary shares issuable upon the exercise of the Placement Agent Warrant.</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Arijam Pty Ltd ATF Alster Family Trust (“Arijam”) may not convert or exercise, as applicable, its August 2024 Convertible Note or August 2024 Warrant to the extent such conversion or exercise would cause Arijam, together with its affiliates, to beneficially own a number of ordinary shares which would exceed 4.99% of our then outstanding ordinary shares.</w:t>
      </w:r>
    </w:p>
    <w:p>
      <w:pPr>
        <w:spacing w:after="0" w:line="1" w:lineRule="exact"/>
        <w:rPr>
          <w:rFonts w:ascii="Times New Roman" w:cs="Times New Roman" w:eastAsia="Times New Roman" w:hAnsi="Times New Roman"/>
          <w:sz w:val="18"/>
          <w:szCs w:val="18"/>
          <w:color w:val="auto"/>
        </w:rPr>
      </w:pPr>
    </w:p>
    <w:p>
      <w:pPr>
        <w:jc w:val="both"/>
        <w:ind w:left="46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beneficially owned by Arijam are directly owned by Arijam. Eliezer Alster is the Director of Trustee of Arijam, and in such capacity has the right to vote and dispose of the securities held by such entities. Mr. Alster disclaims beneficial ownership over the securities listed except to the extent of his pecuniary interest therein. The address for Arijam is Unit 24, 40-42 O'Riordan Street, Alexandria NSW 2015 Australia.</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962,143 ordinary shares including: (a) 605,000 ordinary shares issuable upon the conversion of an August 2024 Convertible Note and (b) 357,143 ordinary shares issuable upon the exercise of an August 2024 Warrant.</w:t>
      </w:r>
    </w:p>
    <w:p>
      <w:pPr>
        <w:jc w:val="both"/>
        <w:ind w:left="460" w:hanging="452"/>
        <w:spacing w:after="0" w:line="25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Henri Arthur Paul Veron may not convert or exercise, as applicable, his August 2024 Convertible Note or his August 2024 Warrant to the extent such conversion or exercise would cause him, together with his affiliates, to beneficially own a number of ordinary shares which would exceed 4.99% of our then outstanding ordinary shares.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769,715 ordinary shares including: (a) 484,000 ordinary shares issuable upon the conversion of an August 2024 Convertible Note, and</w:t>
      </w:r>
    </w:p>
    <w:p>
      <w:pPr>
        <w:spacing w:after="0" w:line="27" w:lineRule="exact"/>
        <w:rPr>
          <w:rFonts w:ascii="Times New Roman" w:cs="Times New Roman" w:eastAsia="Times New Roman" w:hAnsi="Times New Roman"/>
          <w:sz w:val="18"/>
          <w:szCs w:val="18"/>
          <w:color w:val="auto"/>
        </w:rPr>
      </w:pPr>
    </w:p>
    <w:p>
      <w:pPr>
        <w:ind w:left="720" w:hanging="253"/>
        <w:spacing w:after="0"/>
        <w:tabs>
          <w:tab w:leader="none" w:pos="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285,715 ordinary shares issuable upon the exercise of an August 2024 Warrant.</w:t>
      </w:r>
    </w:p>
    <w:p>
      <w:pPr>
        <w:spacing w:after="0" w:line="9"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Cogent Limited (“Cogent”) may not convert or exercise, as applicable, its August 2024 Convertible Note or August 2024 Warrant to the extent such conversion or exercise would cause Cogent, together with its affiliates, to beneficially own a number of ordinary shares which would exceed 4.99% of our then outstanding ordinary shares.</w:t>
      </w:r>
    </w:p>
    <w:p>
      <w:pPr>
        <w:spacing w:after="0" w:line="1" w:lineRule="exact"/>
        <w:rPr>
          <w:rFonts w:ascii="Times New Roman" w:cs="Times New Roman" w:eastAsia="Times New Roman" w:hAnsi="Times New Roman"/>
          <w:sz w:val="18"/>
          <w:szCs w:val="18"/>
          <w:color w:val="auto"/>
        </w:rPr>
      </w:pPr>
    </w:p>
    <w:p>
      <w:pPr>
        <w:jc w:val="both"/>
        <w:ind w:left="4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beneficially owned by Cogent are directly owned by Cogent. Michau De Leeuw is the Sole Director of Cogent, and in such capacity has the right to vote and dispose of the securities held by such entities. The address for Cogent is Governors Square, Building 4, 2nd Floor, 23 Lime Tree Bay Avenue, SMB, P.O. Box 32315, Grand Cayman, KY1-1209.</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577,286 ordinary shares including: (a) 363,000 ordinary shares issuable upon the conversion of an August 2024 Convertible Note, and</w:t>
      </w:r>
    </w:p>
    <w:p>
      <w:pPr>
        <w:spacing w:after="0" w:line="9" w:lineRule="exact"/>
        <w:rPr>
          <w:rFonts w:ascii="Times New Roman" w:cs="Times New Roman" w:eastAsia="Times New Roman" w:hAnsi="Times New Roman"/>
          <w:sz w:val="18"/>
          <w:szCs w:val="18"/>
          <w:color w:val="auto"/>
        </w:rPr>
      </w:pPr>
    </w:p>
    <w:p>
      <w:pPr>
        <w:ind w:left="720" w:hanging="253"/>
        <w:spacing w:after="0"/>
        <w:tabs>
          <w:tab w:leader="none" w:pos="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214,286 ordinary shares issuable upon the exercise of an August 2024 Warrant.</w:t>
      </w:r>
    </w:p>
    <w:p>
      <w:pPr>
        <w:spacing w:after="0" w:line="9"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Mark Lyttlton may not convert or exercise, as applicable, his August 2024 Convertible Note or his August 2024 Warrant to the extent such conversion or exercise would cause him, together with his affiliates, to beneficially own a number of ordinary shares which would exceed 4.99% of our then outstanding ordinary shares.</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596,529 ordinary shares including: (a) 375,100 ordinary shares issuable upon the conversion of an August 2024 Convertible Note and (b) 221,429 ordinary shares issuable upon the exercise of an August 2024 Warrant.</w:t>
      </w:r>
    </w:p>
    <w:p>
      <w:pPr>
        <w:jc w:val="both"/>
        <w:ind w:left="46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Jonathan James Kent may not convert or exercise, as applicable, his August 2024 Convertible Note or his August 2024 Warrant to the extent such conversion or exercise would cause him, together with his affiliates, to beneficially own a number of ordinary shares which would exceed 4.99% of our then outstanding ordinary shares.</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384,858 ordinary shares including: (a) 242,000 ordinary shares issuable upon the conversion of an August 2024 Convertible Note and (b) 142,858 ordinary shares issuable upon the exercise of an August 2024 Warrant.</w:t>
      </w:r>
    </w:p>
    <w:p>
      <w:pPr>
        <w:jc w:val="both"/>
        <w:ind w:left="46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Hirsch Financial Pty Ltd (“Hirsch”) may not convert or exercise, as applicable, its August 2024 Convertible Note or its August 2024 Warrant to the extent such conversion or exercise would cause Hirsch, together with its affiliates, to beneficially own a number of ordinary shares which would exceed 4.99% of our then outstanding ordinary shares.</w:t>
      </w:r>
    </w:p>
    <w:p>
      <w:pPr>
        <w:spacing w:after="0" w:line="1" w:lineRule="exact"/>
        <w:rPr>
          <w:rFonts w:ascii="Times New Roman" w:cs="Times New Roman" w:eastAsia="Times New Roman" w:hAnsi="Times New Roman"/>
          <w:sz w:val="18"/>
          <w:szCs w:val="18"/>
          <w:color w:val="auto"/>
        </w:rPr>
      </w:pPr>
    </w:p>
    <w:p>
      <w:pPr>
        <w:ind w:left="4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beneficially owned by Hirsch are directly owned by Hirsch. Josh Goldhirsch is the Director of Hirsch, and in such capacity has the right to vote and dispose of the securities held by such entities. The address for Hirsch is 8 Lynedoch Ave, St Kilda East VIC 3183, Australia.</w:t>
      </w: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269,400 ordinary shares including: (a) 169,400 ordinary shares issuable upon the conversion of an August 2024 Convertible Note, and</w:t>
      </w:r>
    </w:p>
    <w:p>
      <w:pPr>
        <w:spacing w:after="0" w:line="9" w:lineRule="exact"/>
        <w:rPr>
          <w:rFonts w:ascii="Times New Roman" w:cs="Times New Roman" w:eastAsia="Times New Roman" w:hAnsi="Times New Roman"/>
          <w:sz w:val="18"/>
          <w:szCs w:val="18"/>
          <w:color w:val="auto"/>
        </w:rPr>
      </w:pPr>
    </w:p>
    <w:p>
      <w:pPr>
        <w:ind w:left="720" w:hanging="253"/>
        <w:spacing w:after="0"/>
        <w:tabs>
          <w:tab w:leader="none" w:pos="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ordinary shares issuable upon the exercise of an August 2024 Warrant.</w:t>
      </w:r>
    </w:p>
    <w:p>
      <w:pPr>
        <w:spacing w:after="0" w:line="9"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Melanie Bome may not convert or exercise, as applicable, her August 2024 Convertible Note or his August 2024 Warrant to the extent such conversion or exercise would cause her, together with her affiliates, to beneficially own a number of ordinary shares which would exceed 4.99% of our then outstanding ordinary shares.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269,400 ordinary shares including: (a) 169,400 ordinary shares issuable upon the conversion of an August 2024 Convertible Note, and</w:t>
      </w:r>
    </w:p>
    <w:p>
      <w:pPr>
        <w:spacing w:after="0" w:line="9" w:lineRule="exact"/>
        <w:rPr>
          <w:rFonts w:ascii="Times New Roman" w:cs="Times New Roman" w:eastAsia="Times New Roman" w:hAnsi="Times New Roman"/>
          <w:sz w:val="18"/>
          <w:szCs w:val="18"/>
          <w:color w:val="auto"/>
        </w:rPr>
      </w:pPr>
    </w:p>
    <w:p>
      <w:pPr>
        <w:ind w:left="720" w:hanging="253"/>
        <w:spacing w:after="0"/>
        <w:tabs>
          <w:tab w:leader="none" w:pos="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ordinary shares issuable upon the exercise of an August 2024 Warrant.</w:t>
      </w:r>
    </w:p>
    <w:p>
      <w:pPr>
        <w:spacing w:after="0" w:line="9"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Foxglove Capital Pty Ltd (“Foxglove”) may not convert or exercise, as applicable, its August 2024 Convertible Note or its August 2024 Warrant to the extent such conversion or exercise would cause Foxglove, together with its affiliates, to beneficially own a number of ordinary shares which would exceed 4.99% of our then outstanding ordinary shares.</w:t>
      </w:r>
    </w:p>
    <w:p>
      <w:pPr>
        <w:spacing w:after="0" w:line="185" w:lineRule="exact"/>
        <w:rPr>
          <w:rFonts w:ascii="Times New Roman" w:cs="Times New Roman" w:eastAsia="Times New Roman" w:hAnsi="Times New Roman"/>
          <w:sz w:val="18"/>
          <w:szCs w:val="18"/>
          <w:color w:val="auto"/>
        </w:rPr>
      </w:pPr>
    </w:p>
    <w:p>
      <w:pPr>
        <w:jc w:val="both"/>
        <w:ind w:left="4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beneficially owned by Foxglove are directly owned by Foxglove. Matt Bungey and Gareth Hicks are the Directors of Foxglove, and in such capacity have the right to vote and dispose of the securities held by such entities. The address for Foxglove is Suite 4; 3 Brixton Street, Cottesloe, WA, Australia.</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192,429 ordinary shares including: (a) 121,000 ordinary shares issuable upon the conversion of an August 2024 Convertible Note, and</w:t>
      </w:r>
    </w:p>
    <w:p>
      <w:pPr>
        <w:spacing w:after="0" w:line="9" w:lineRule="exact"/>
        <w:rPr>
          <w:rFonts w:ascii="Times New Roman" w:cs="Times New Roman" w:eastAsia="Times New Roman" w:hAnsi="Times New Roman"/>
          <w:sz w:val="18"/>
          <w:szCs w:val="18"/>
          <w:color w:val="auto"/>
        </w:rPr>
      </w:pPr>
    </w:p>
    <w:p>
      <w:pPr>
        <w:ind w:left="720" w:hanging="253"/>
        <w:spacing w:after="0"/>
        <w:tabs>
          <w:tab w:leader="none" w:pos="7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71,429 ordinary shares issuable upon the exercise of an August 2024 Warrant.</w:t>
      </w:r>
    </w:p>
    <w:p>
      <w:pPr>
        <w:spacing w:after="0" w:line="9" w:lineRule="exact"/>
        <w:rPr>
          <w:rFonts w:ascii="Times New Roman" w:cs="Times New Roman" w:eastAsia="Times New Roman" w:hAnsi="Times New Roman"/>
          <w:sz w:val="18"/>
          <w:szCs w:val="18"/>
          <w:color w:val="auto"/>
        </w:rPr>
      </w:pPr>
    </w:p>
    <w:p>
      <w:pPr>
        <w:jc w:val="both"/>
        <w:ind w:left="460" w:right="20" w:hanging="452"/>
        <w:spacing w:after="0" w:line="25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Findon Nominees Pty Ltd (“Findon”) may not convert or exercise, as applicable, its August 2024 Convertible Note or its August 2024 Warrant to the extent such conversion or exercise would cause Findon, together with its affiliates, to beneficially own a number of ordinary shares which would exceed 4.99% of our then outstanding ordinary shares.</w:t>
      </w:r>
    </w:p>
    <w:p>
      <w:pPr>
        <w:spacing w:after="0" w:line="185" w:lineRule="exact"/>
        <w:rPr>
          <w:rFonts w:ascii="Times New Roman" w:cs="Times New Roman" w:eastAsia="Times New Roman" w:hAnsi="Times New Roman"/>
          <w:sz w:val="18"/>
          <w:szCs w:val="18"/>
          <w:color w:val="auto"/>
        </w:rPr>
      </w:pPr>
    </w:p>
    <w:p>
      <w:pPr>
        <w:jc w:val="both"/>
        <w:ind w:left="4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beneficially owned by Findon are directly owned by Findon. David Klinger is the Directors of Findon, and in such capacity has the right to vote and dispose of the securities held by such entities. The address for Findon is 7 Rosemont Avenue, Woollahra, NSW, 2025, Australia.</w:t>
      </w:r>
    </w:p>
    <w:p>
      <w:pPr>
        <w:ind w:left="460" w:right="2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153,943 ordinary shares including: (a) 96,800 ordinary shares issuable upon the conversion of an August 2024 Convertible Note, and (b) 57,143 ordinary shares issuable upon the exercise of an August 2024 Warrant.</w:t>
      </w:r>
    </w:p>
    <w:p>
      <w:pPr>
        <w:jc w:val="both"/>
        <w:ind w:left="460" w:hanging="452"/>
        <w:spacing w:after="0" w:line="25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J&amp;H MacCulloch Trust (“MacCulloch”) may not convert or exercise, as applicable, its August 2024 Convertible Note or its August 2024 Warrant to the extent such conversion or exercise would cause MacCulloch, together with its affiliates, to beneficially own a number of ordinary shares which would exceed 4.99% of our then outstanding ordinary shares.</w:t>
      </w:r>
    </w:p>
    <w:p>
      <w:pPr>
        <w:spacing w:after="0" w:line="185" w:lineRule="exact"/>
        <w:rPr>
          <w:rFonts w:ascii="Times New Roman" w:cs="Times New Roman" w:eastAsia="Times New Roman" w:hAnsi="Times New Roman"/>
          <w:sz w:val="18"/>
          <w:szCs w:val="18"/>
          <w:color w:val="auto"/>
        </w:rPr>
      </w:pPr>
    </w:p>
    <w:p>
      <w:pPr>
        <w:jc w:val="both"/>
        <w:ind w:left="460" w:right="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beneficially owned by MacCulloch are directly owned by MacCulloch. John MacCulloch and Heather MacCulloch are the Trustees of MacCulloch, and in such capacity have the right to vote and dispose of the securities held by such entities. The address for MacCulloch is 108 Bellevue Rd, Bellevue Hill NSW 2023, Australia.</w:t>
      </w:r>
    </w:p>
    <w:p>
      <w:pPr>
        <w:spacing w:after="0" w:line="1"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123,155 ordinary shares including: (a) 77,440 ordinary shares issuable upon the conversion of an August 2024 Convertible Note, and (b) 45,715 ordinary shares issuable upon the exercise of an August 2024 Warrant.</w:t>
      </w:r>
    </w:p>
    <w:p>
      <w:pPr>
        <w:jc w:val="both"/>
        <w:ind w:left="46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Gregory William Silver may not convert or exercise, as applicable, his August 2024 Convertible Note or his August 2024 Warrant to the extent such conversion or exercise would cause him, together with his affiliates, to beneficially own a number of ordinary shares which would exceed 4.99% of our then outstanding ordinary shares</w:t>
      </w:r>
    </w:p>
    <w:p>
      <w:pPr>
        <w:spacing w:after="0" w:line="1" w:lineRule="exact"/>
        <w:rPr>
          <w:rFonts w:ascii="Times New Roman" w:cs="Times New Roman" w:eastAsia="Times New Roman" w:hAnsi="Times New Roman"/>
          <w:sz w:val="18"/>
          <w:szCs w:val="18"/>
          <w:color w:val="auto"/>
        </w:rPr>
      </w:pPr>
    </w:p>
    <w:p>
      <w:pPr>
        <w:ind w:left="460" w:hanging="452"/>
        <w:spacing w:after="0" w:line="26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57,729 ordinary shares including: (a) 36,300 ordinary shares issuable upon the conversion of an August 2024 Convertible Note, and (b) 21,429 ordinary shares issuable upon the exercise of an August 2024 Warrant.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Selling Securityholders, which as used herein includes donees, pledgees, transferees or other successors-in-interest selling warrants, ordinary shares or interests in ordinary shares received after the date of this prospectus from a Selling Securityholder as a gift, pledge, partnership distribution or other transfer, may, from time to time, sell, transfer or otherwise dispose of any or all of ordinary shares or interests in ordinary shares on any stock exchange, market or trading facility on which our ordinary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Selling Securityholders may use any one or more of the following methods when disposing of the ordinary shares or their interests therein:</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their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or all of their ordinary shares or other shares owned by them and, if they default in the performance of their secured obligations, the pledgees or secured parties may offer and sell the ordinary shares,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ordinary shares in other circumstances, in which case the transferees, pledgees or other successors in interest will be the selling beneficial owners for purposes of this prospectus.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their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ordinary shares, the Selling Securityholders may enter into hedging transactions with broker-dealers or other financial institutions, which may in turn engage in short sales of our ordinary shares in the course of hedging the positions they assume. The Selling Securityholders may also sell our ordinary shares short and deliver these securities to close out their short positions, or loan or pledge the Warrants or ordinary shares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or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the Selling Securityholders reserves the right to accept and, together with their agents from time to time, to reject, in whole or in part, any proposed purchase of ordinary shares to be made directly or through agents. We will not receive any of the proceeds from this offering. Upon any exercise of the Warrants by payment of cash, however, we will receive the exercise price of the Warrants.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Securityholders and any underwriters, broker-dealers or agents that participate in the sale of the ordinary shares or interests therein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required, the ordinary shares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ordinary shares may be sold in these jurisdictions only through registered or licensed brokers or dealers. In addition, in some states the ordinary shares may not be sold unless they have been registered or qualified for sale or an exemption from registration or qualification requirements is available and is complied with.</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Securityholders against liabilities, including liabilities under the Securities Act and state securities laws, relating to the registration of the warrants or shares offered by this prospectus.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with the Selling Securityholders to keep the registration statement of which this prospectus constitutes a part effective until all of the shares covered by this prospectus have been disposed of pursuant to and in accordance with the registration statement or the securities have been withdrawn.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estimate that our expenses in connection with the issuance and registration of our ordinary shares in connection with exercise of warrants and the offer and sale of our ordinary shares by the Selling Securityholders, will be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Under agreements to which we are party with the Selling Securityholders, we have agreed to bear all expenses relating to the registration of the resale of the securities pursuant to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legality of the ordinary shares and certain warrants offered by this prospectus and certain other Israeli legal matters will be passed upon for us by Goldfarb Gross Seligman &amp; Co. The legality of certain of the warrants offered by this prospectus and certain legal matters relating to U.S. law will be passed upon for us by Greenberg Traurig LLP.</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HUB Cyber Security Ltd. appearing in HUB Cyber Security Ltd.'s Annual Report (Form 20-F) for the year ended December 31, 2023 have been audited by Kost, Forer, Gabbay &amp; Kasierer, a member of EY Global, independent registered public accounting firm, as set forth in their report thereon (which contains an explanatory paragraph describing conditions that raise substantial doubt about the Company's ability to continue as a going concern as described in Note 1d to the consolidated financial statements), incorporated by reference therein, and incorporated herein by reference. Such consolidated financial statements are incorporated herein by reference in reliance upon such report given on the authority of such firm as experts in accounting and auditing.</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and upon our directors and officers and the Israeli experts named in this prospectus, substantially all of whom reside outside the United States, may be difficult to obtain within the United States. Furthermore, because substantially all of our assets and the majority of our directors and officers are located outside the United States, any judgment obtained in the United States against us or any of our directors and officers may not be collectible within the United States.</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irrevocably appointed Puglisi &amp; Associates, Inc., as our agent to receive service of process in any action against us in any U.S. federal or state court arising out of the Transactions. The address of Puglisi &amp; Associates is 850 Library Avenue, Newark, Delaware 19711.</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w:t>
      </w:r>
    </w:p>
    <w:p>
      <w:pPr>
        <w:spacing w:after="0" w:line="1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spacing w:after="0" w:line="9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by a court which was, according to the laws of the state of the court, competent to render the judgment;</w:t>
      </w:r>
    </w:p>
    <w:p>
      <w:pPr>
        <w:spacing w:after="0" w:line="14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imposed by the judgment is enforceable according to the rules relating to the enforceability of judgments in Israel and the substance of the judgment is not contrary to public policy;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capable of being executed in the state in which it was given.</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Even if these conditions are met, an Israeli court may not declare a foreign civil judgment enforceable if:</w:t>
      </w:r>
    </w:p>
    <w:p>
      <w:pPr>
        <w:spacing w:after="0" w:line="14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given in a state whose laws do not provide for the enforcement of judgments of Israeli courts (subject to exceptional cases);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is likely to prejudice the sovereignty or security of the State of Israel;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obtained by fraud;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given to the defendant to bring its arguments and evidence before the court was not reasonable in the opinion of the Israeli court;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by a court not competent to render it according to the laws of private international law as they apply in Israel;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contradictory to another judgment that was given in the same matter between the same parties and that is still valid; or</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action was brought in the foreign court, a lawsuit in the same matter and between the same parties was pending before a court or tribunal in Israel.</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 In addition, there is no bilateral treaty between Israel and the United States for the enforcement of civil judgments.</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warrant agent for our securities is Equiniti Trust Company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18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65">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August 16, 2024;</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Reports of Foreign Private Issuer on Form 6-K filed with the SEC on </w:t>
      </w:r>
      <w:hyperlink r:id="rId66">
        <w:r>
          <w:rPr>
            <w:rFonts w:ascii="Times New Roman" w:cs="Times New Roman" w:eastAsia="Times New Roman" w:hAnsi="Times New Roman"/>
            <w:sz w:val="18"/>
            <w:szCs w:val="18"/>
            <w:u w:val="single" w:color="auto"/>
            <w:color w:val="0000EE"/>
          </w:rPr>
          <w:t>August 22, 2024</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August 29, 2024</w:t>
        </w:r>
      </w:hyperlink>
      <w:r>
        <w:rPr>
          <w:rFonts w:ascii="Times New Roman" w:cs="Times New Roman" w:eastAsia="Times New Roman" w:hAnsi="Times New Roman"/>
          <w:sz w:val="18"/>
          <w:szCs w:val="18"/>
          <w:color w:val="auto"/>
        </w:rPr>
        <w:t xml:space="preserve">, and </w:t>
      </w:r>
      <w:hyperlink r:id="rId68">
        <w:r>
          <w:rPr>
            <w:rFonts w:ascii="Times New Roman" w:cs="Times New Roman" w:eastAsia="Times New Roman" w:hAnsi="Times New Roman"/>
            <w:sz w:val="18"/>
            <w:szCs w:val="18"/>
            <w:u w:val="single" w:color="auto"/>
            <w:color w:val="0000EE"/>
          </w:rPr>
          <w:t>August 29,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ordinary shares contained in the Company’s registration statement on </w:t>
      </w:r>
      <w:hyperlink r:id="rId6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001-41634), filed with the SEC on February 28, 2023,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on Form F-1 to register the resale of the securities described elsewhere in this prospectus. This prospectus is a part of that registration statement. As permitted by SEC rules, this prospectus does not contain all of the information included in the registration statement and the accompanying exhibits and schedules we file with the SEC. You may refer to the registration statement and the exhibits and schedules for more information about us and our securities.</w:t>
      </w:r>
    </w:p>
    <w:p>
      <w:pPr>
        <w:spacing w:after="0" w:line="180"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and statements contained in this prospectus or any annex to this prospectus are qualified in all respects by reference to the copy of the relevant contract or other annex filed as an exhibit to the registration statement of which this prospectus forms a part.</w:t>
      </w:r>
    </w:p>
    <w:p>
      <w:pPr>
        <w:spacing w:after="0" w:line="162" w:lineRule="exact"/>
        <w:rPr>
          <w:rFonts w:ascii="Times New Roman" w:cs="Times New Roman" w:eastAsia="Times New Roman" w:hAnsi="Times New Roman"/>
          <w:sz w:val="18"/>
          <w:szCs w:val="18"/>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Statements made in this prospectus concerning the contents of any contract, agreement or other document are not complete descriptions of all terms of these documents. If a document has been filed as an exhibit to the registration statement, we refer you to the copy of the document that has been filed for a complete description of its terms. Each statement in this prospectus relating to a document filed as an exhibit is qualified in all respects by the filed exhibit. You should read this prospectus and the documents that we have filed as exhibits to the registration statement of which this prospectus is a part in their entirety.</w:t>
      </w:r>
    </w:p>
    <w:p>
      <w:pPr>
        <w:spacing w:after="0" w:line="183"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76" w:lineRule="exact"/>
        <w:rPr>
          <w:rFonts w:ascii="Times New Roman" w:cs="Times New Roman" w:eastAsia="Times New Roman" w:hAnsi="Times New Roman"/>
          <w:sz w:val="18"/>
          <w:szCs w:val="18"/>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as defined in Rule 3b-4 under the Securities Exchange Act of 1934, or the Exchange Act. As a result, our proxy solicitations are not subject to the disclosure and procedural requirements of Regulation 14A under the Exchange Act and transactions in our equity securities by our officers and directors are exempt from Section 16 of the Exchange Act. In addition, we are not required under the Exchange Act to file periodic reports and financial statements as frequently or as promptly as U.S. companies whose securities are registered under the Exchange Act. We publish annually an annual report filed on Form 20-F containing financial statements that have been examined and reported on, with an opinion expressed by, a registered public accounting firm. We prepare our annual financial statements in United States dollars and in accordance with IFRS. If there is any inconsistency between the information in this prospectus and in any post-effective amendment to the Form F-1 of which this prospectus is a part, or in any prospectus supplement, you should rely on the information in the post-effective amendment or prospectus supplement, as relevant. You should read this prospectus and any post-effective amendment or prospectus supplement together with the additional information contained in documents listed above in this section. The registration statement containing this prospectus, including the exhibits to the registration statement, provides additional information about us, the securities offered under this prospectus, and our other outstanding securities. The registration statement, including the exhibits, can be read at the SEC’s website or at the SEC’s offices mentioned above in this section.</w:t>
      </w:r>
    </w:p>
    <w:p>
      <w:pPr>
        <w:spacing w:after="0" w:line="190"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is delivered, a copy of any or all the information that has been incorporated by reference in this prospectus but not delivered with this prospectus (and any exhibits specifically incorporated in such information), at no cost, upon written or oral request to us at the following address:</w:t>
      </w:r>
    </w:p>
    <w:p>
      <w:pPr>
        <w:spacing w:after="0" w:line="176"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HUB Cyber Security Ltd.</w:t>
      </w:r>
    </w:p>
    <w:p>
      <w:pPr>
        <w:spacing w:after="0" w:line="225"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27"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2 Kaplan Street</w:t>
      </w:r>
    </w:p>
    <w:p>
      <w:pPr>
        <w:spacing w:after="0" w:line="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Tel Aviv, Israel 6473403</w:t>
      </w:r>
    </w:p>
    <w:p>
      <w:pPr>
        <w:spacing w:after="0" w:line="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Israel</w:t>
      </w:r>
    </w:p>
    <w:p>
      <w:pPr>
        <w:spacing w:after="0" w:line="207" w:lineRule="exact"/>
        <w:rPr>
          <w:rFonts w:ascii="Times New Roman" w:cs="Times New Roman" w:eastAsia="Times New Roman" w:hAnsi="Times New Roman"/>
          <w:sz w:val="18"/>
          <w:szCs w:val="18"/>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You may also obtain information about us by visiting our website at www.hubsecurity.com. Information contained in our website is not part of this prospectus.</w:t>
      </w:r>
    </w:p>
    <w:p>
      <w:pPr>
        <w:spacing w:after="0" w:line="162" w:lineRule="exact"/>
        <w:rPr>
          <w:rFonts w:ascii="Times New Roman" w:cs="Times New Roman" w:eastAsia="Times New Roman" w:hAnsi="Times New Roman"/>
          <w:sz w:val="18"/>
          <w:szCs w:val="18"/>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give any information or make any representation about their companies that is different from, or in addition to, that contained in this prospectus or in any of the materials that have been incorporated in this prospectus. Therefore, if anyone does give you information of this sort, you should not rely on it. If you are in a jurisdiction where offers to exchange or sell, or solicitations of offers to exchange or purchase, the securities offered by this prospectus or the solicitation of proxies is unlawful, or if you are a person to whom it is unlawful to direct these types of activities, then the offer presented in this prospectus does not extend to you. The information contained in this prospectus speaks only as of the date of this prospectus unless the information specifically indicates that another date applies. You should read all information supplementing this prospectus.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74"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Companies Law 5759–1999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may not exculpate a director from liability arising out of a prohibited dividend or distribution to shareholders.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Israeli company may indemnify an office holder from the following liabilities and expenses incurred for acts performed as an office holder, either in advance of an event or following an event, provided a provision authorizing such indemnification is contained in its articles of association:</w:t>
      </w:r>
    </w:p>
    <w:p>
      <w:pPr>
        <w:spacing w:after="0" w:line="162" w:lineRule="exact"/>
        <w:rPr>
          <w:sz w:val="20"/>
          <w:szCs w:val="20"/>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 mentioned events and amount or criteria;</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5728-1968 (the “Israeli Securities Law”);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an office holder in relation to an administrative proceeding instituted against such office holder pursuant to certain provisions of the Israeli Economic Competition Law, 5758-1988.</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62"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to the extent that the office holder acted in good faith and had a reasonable basis to believe that the act would not prejudice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to the company or to a third-party, including a breach arising out of the negligent conduct of the office 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third-party;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third-party harmed by a breach in an administrative proceeding, pursuant to certain provisions of the Israeli Securities Law;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Israeli company may not exempt, indemnify or insure an office holder against any of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with respect to insurance coverage or indemnification, to the extent that the office holder acted in good faith and had a reasonable basis to believe that the act would not prejudice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committed intentionally or recklessly, excluding a breach arising out of the negligent conduct of the office 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monetary sanction, or forfeit levied against the office holder.</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articles of association allow us to exculpate, indemnify, and insure our office holders to the maximum extent permitted by law. Our office holders are currently covered by a directors and officers’ liability insurance policy.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maximum indemnification amount to be set forth in such agreements is limited to an amount equal to the higher of $100 million, 25% of our total shareholders’ equity as reflected in our most recent consolidated financial statements prior to the date on which the indemnity payment is made and 10% of our total market capitalization calculated based on the average closing price of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opinion of the SEC, indemnification of directors and office holders for liabilities arising under the Securities Act, however, is against public policy and therefore unenforceable.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past three years, we issued securities which were not registered under the Securities Act as set forth below. We believe that each of such issuances was exempt from registration under the Securities Act in reliance on Section 4(a)(2) of the Securities Act, Rule 701 and/or Regulation S under the Securities Act.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transactions during the preceding three fiscal years (and in the current year through September 12, 2024) involving sales of our securities that were not registered under the Securities Act (we have adjusted the number of shares, options and RSUs to reflect the Share Split on a retroactive basis):</w:t>
      </w:r>
    </w:p>
    <w:p>
      <w:pPr>
        <w:spacing w:after="0" w:line="17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an aggregate of 0 ordinary shares pursuant to settlement of RSUs for our employees, directors and consultants.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issued an aggregate of 284,411 ordinary shares pursuant to the exercise of share options by our employees, directors and consultants.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our directors, officers, employees and consultants options to purchase an aggregate of 355,146 ordinary shares, under the HUB Cyber Security Ltd. 2007 Stock Option Plan.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our directors, officers, employees and consultants options to purchase an aggregate of 989,339 ordinary shares, under the HUB Cyber Security Ltd. 2021 Stock Option Plan.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our directors, officers, employees and consultants 2,317,119 RSUs, under the HUB Cyber Security Ltd. 2021 Stock Option Plan, of which 316,638 were cancelled and 1,998,060 remain outstanding.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an aggregate of 5,100,000 shares pursuant to HUB and ALD share swap merger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an aggregate of 639,910 shares to Eldav, pursuant to an agreement for the purchase of the entire issued and outstanding share capital of Comsec Ltd.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Business Combination Agreement, we issued 39,758 ordinary shares to certain investors for gross proceeds of approximately $4 million as a partial fulfilment of the PIPE Commitment.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issued to A-Labs Finance and Advisory a total of 372,070 warrants as placement agent commission for various financing transactions they have facilitated with a weighted average exercise of $18.9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offering in Israel in February 2022 we issued 6,885,632 ordinary shares and 6,885,632 Prior Warrants.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2022, in connection with investment agreements with 12.64 Fund, we issued 431,210 ordinary shares, and warrants to purchase 431,210 ordinary shares at an exercise price of $2.41 per ordinary share.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we entered into a loan agreement with A-Labs, pursuant to which A-Labs agreed to issue us a $1,000,000 principal amount note for gross proceeds of $900,000 (the “A-Labs Loan”). The principal amount A-Labs Loan is due to be repaid in one repayment on January 16, 2026 (the Maturity Date”) (36 months from the execution of the A-Labs Loan). The A-Labs Loan bears interest at 12% per annum and interest became payable quarterly commencing on April 1, 2023 until the Maturity Date.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2023, in connection with the closing of the Business Combination Agreement, we issued a Convertible Note to A.G.P. in the principal amount of approximately $5.2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2023, in connection with the closing of the Business Combination Agreement, we issued a Convertible Note to a vendor in the amount of approximately $350,000.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2023, in connection with the closing of the Business Combination Agreement, we issued a Senior Secured Promissory Note to Dominion Capital in the principal amount of $2.5 million.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2023, we and Dominion Capital LLC and its affiliates (together, “Dominion”) entered into an Equity Purchase Agreement, whereas pursuant thereto we, may, but are not required to, issue up to $100,000,000 ordinary shares to Dominion over the course of 36 months from the date thereof. As consideration for Dominion’s purchase commitment, we issued to Dominion 1,000,000 ordinary shares as a commitment fee.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2023, we entered into the Lind Agreement, pursuant to which we agreed to issue to Lind convertible promissory notes in the aggregate principal amount of up to $21 million. As of the date of this Registration Statement, we have issued a convertible promissory note to Lind for principal amount of $9.6 million and warrants to purchase 892,857 of our ordinary shares with an exercise price of $3.50 per share.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of February 23, 2023, June 11, 2023 and July 9, 2023, we entered into the Shayna Loan Agreements, pursuant to which we issued approximately NIS 16.85 million (approximately $4.4 million) of convertible promissory notes to Shayna.</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and December 2023 and January 2024, we issued (i) convertible notes with an aggregate principle amount of $3,100,000 upon the conversion of which we issued 1,816,885 ordinary shares and (ii) warrants exercisable into 1,679,592 ordinary shares to certain accredited investors.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we issued to certain accredited investors (i) convertible notes with an aggregate principle amount of $550,000 and (ii) warrants exercisable into 200,000 ordinary shares at an exercise price of $1.50 per ordinary share.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March-June 2024, we issued to an accredited investor (i) convertible notes with an aggregate principle amount of $10,000,000, (ii) warrants exercisable into 10,444,444 ordinary shares at an exercise price of $0.70 per ordinary share and (iii) warrants exercisable into 1,000,000 ordinary shares at an exercise price of $0.50 per ordinary share.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2024, we issued to multiple private investors (i) convertible notes with an aggregate principle amount of approximately $4.0 million and (ii) warrants exercisable into approximately 4.7 million ordinary shares at an exercise price of $0.70 per ordinary share, subject to adjustment. On August 18, 2024, we also issued to the placement agent for the foregoing transaction, warrants exercisable into approximately 1.1 million ordinary shares on terms substantially similar to the terms of the warrants issued in the foregoing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22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Index is hereby incorporated herein by reference.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are not applicable or the information is otherwise set forth in the Consolidated Financial Statements and related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92" w:lineRule="exact"/>
        <w:rPr>
          <w:sz w:val="20"/>
          <w:szCs w:val="20"/>
          <w:color w:val="auto"/>
        </w:rPr>
      </w:pPr>
    </w:p>
    <w:p>
      <w:pPr>
        <w:jc w:val="both"/>
        <w:ind w:left="980" w:hanging="324"/>
        <w:spacing w:after="0" w:line="255"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9"/>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120" w:type="dxa"/>
            <w:vAlign w:val="bottom"/>
            <w:tcBorders>
              <w:bottom w:val="single" w:sz="8" w:color="auto"/>
            </w:tcBorders>
          </w:tcPr>
          <w:p>
            <w:pPr>
              <w:spacing w:after="0"/>
              <w:rPr>
                <w:sz w:val="24"/>
                <w:szCs w:val="24"/>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Filed /</w:t>
            </w: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1"/>
                <w:szCs w:val="21"/>
                <w:color w:val="auto"/>
              </w:rPr>
            </w:pPr>
          </w:p>
        </w:tc>
        <w:tc>
          <w:tcPr>
            <w:tcW w:w="36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r>
      <w:tr>
        <w:trPr>
          <w:trHeight w:val="175"/>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3520" w:type="dxa"/>
            <w:vAlign w:val="bottom"/>
            <w:tcBorders>
              <w:top w:val="single" w:sz="8" w:color="auto"/>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Amended and Restated Articles of Association</w:t>
              </w:r>
            </w:hyperlink>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6-K</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99.2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13, 2023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of HUB Cyber Security Ltd</w:t>
              </w:r>
              <w:r>
                <w:rPr>
                  <w:rFonts w:ascii="Times New Roman" w:cs="Times New Roman" w:eastAsia="Times New Roman" w:hAnsi="Times New Roman"/>
                  <w:sz w:val="18"/>
                  <w:szCs w:val="18"/>
                  <w:color w:val="000000"/>
                </w:rPr>
                <w:t>.</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Memorandum of Association of HUB Cyber</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Security Ltd.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Specimen Ordinary Share Certificate of HUB</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333-267035</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November 17, 2022</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Cyber Security (Israel) Ltd</w:t>
              </w:r>
              <w:r>
                <w:rPr>
                  <w:rFonts w:ascii="Times New Roman" w:cs="Times New Roman" w:eastAsia="Times New Roman" w:hAnsi="Times New Roman"/>
                  <w:sz w:val="18"/>
                  <w:szCs w:val="18"/>
                  <w:color w:val="000000"/>
                </w:rPr>
                <w:t>.</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354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Specimen Warrant Certificate of HUB Cyber</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333-267035</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November 17, 2022</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Security (Israel) Ltd.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15"/>
                <w:szCs w:val="15"/>
                <w:color w:val="auto"/>
              </w:rPr>
            </w:pPr>
          </w:p>
        </w:tc>
        <w:tc>
          <w:tcPr>
            <w:tcW w:w="35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Goldfarb Gross Seligman &amp; Co.,</w:t>
            </w: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Israeli counsel to the Registrant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Greenberg  Traurig,  P.A,  U.S.</w:t>
            </w:r>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counsel to the Registrant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Director and Officer Indemnification</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333-267035</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November 17, 2022</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Agreement.</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Compensation  Policy  for  Directors  and</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w w:val="99"/>
              </w:rPr>
              <w:t>6-K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Annex A to</w:t>
            </w:r>
          </w:p>
        </w:tc>
        <w:tc>
          <w:tcPr>
            <w:tcW w:w="212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w w:val="99"/>
              </w:rPr>
              <w:t>October 5,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Officers.</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Exhibit 99.1</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35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2007 Employee Stock Option Plan of HUB</w:t>
              </w:r>
            </w:hyperlink>
          </w:p>
        </w:tc>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333-267035</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November 17, 2022</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Cyber Security (Israel) Ltd.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35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2021 Employee Stock Option Plan of HUB</w:t>
              </w:r>
            </w:hyperlink>
          </w:p>
        </w:tc>
        <w:tc>
          <w:tcPr>
            <w:tcW w:w="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333-267035</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November 17, 2022</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Cyber Security (Israel) Ltd.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Sponsor  Support  Agreement,  dated  as  of</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333-267035</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August 24, 2022</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March 23, 2022, by and among Mount Rainier</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Acquisition Corp., Hub Cyber Security (Israel)</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Ltd. and initial stockholders of Mount Rainier</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Acquisition Corp.</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Warrant  Agreement,</w:t>
            </w:r>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dated February 28, 2023, by and among Mount</w:t>
            </w:r>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Rainier Acquisition Corp., Hub Cyber Security</w:t>
            </w:r>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(Israel) Ltd. and American Stock Transfer &amp;</w:t>
            </w:r>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Trust Company, LLC, as warrant agent.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3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120" w:type="dxa"/>
            <w:vAlign w:val="bottom"/>
            <w:tcBorders>
              <w:bottom w:val="single" w:sz="8" w:color="auto"/>
            </w:tcBorders>
          </w:tcPr>
          <w:p>
            <w:pPr>
              <w:spacing w:after="0"/>
              <w:rPr>
                <w:sz w:val="21"/>
                <w:szCs w:val="21"/>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3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Filed /</w:t>
            </w: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1"/>
                <w:szCs w:val="21"/>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3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r>
      <w:tr>
        <w:trPr>
          <w:trHeight w:val="175"/>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3460" w:type="dxa"/>
            <w:vAlign w:val="bottom"/>
            <w:tcBorders>
              <w:top w:val="single" w:sz="8" w:color="auto"/>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Registration Rights Agreement, dated March</w:t>
              </w:r>
            </w:hyperlink>
          </w:p>
        </w:tc>
        <w:tc>
          <w:tcPr>
            <w:tcW w:w="20" w:type="dxa"/>
            <w:vAlign w:val="bottom"/>
            <w:tcBorders>
              <w:top w:val="single" w:sz="8" w:color="auto"/>
              <w:bottom w:val="single" w:sz="8" w:color="CCEEFF"/>
            </w:tcBorders>
            <w:gridSpan w:val="5"/>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333-267035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August 24, 2022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23, 2022, by and among HUB Cyber Security</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94967237"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(Israel) Ltd., certain security holders of HUB</w:t>
              </w:r>
            </w:hyperlink>
          </w:p>
        </w:tc>
        <w:tc>
          <w:tcPr>
            <w:tcW w:w="100" w:type="dxa"/>
            <w:vAlign w:val="bottom"/>
            <w:tcBorders>
              <w:bottom w:val="single" w:sz="8" w:color="CCEEFF"/>
            </w:tcBorders>
            <w:gridSpan w:val="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Cyber Security (Israel) Ltd. and certain security</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holders of Mount Rainier Acquisition Corp.</w:t>
              </w:r>
            </w:hyperlink>
          </w:p>
        </w:tc>
        <w:tc>
          <w:tcPr>
            <w:tcW w:w="12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gridSpan w:val="2"/>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37"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Convertible Note dated February 28,</w:t>
              </w:r>
            </w:hyperlink>
          </w:p>
        </w:tc>
        <w:tc>
          <w:tcPr>
            <w:tcW w:w="120" w:type="dxa"/>
            <w:vAlign w:val="bottom"/>
            <w:tcBorders>
              <w:bottom w:val="single" w:sz="8" w:color="CCEEFF"/>
            </w:tcBorders>
            <w:gridSpan w:val="6"/>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August 15,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216"/>
        </w:trPr>
        <w:tc>
          <w:tcPr>
            <w:tcW w:w="1140" w:type="dxa"/>
            <w:vAlign w:val="bottom"/>
            <w:shd w:val="clear" w:color="auto" w:fill="CCEEFF"/>
          </w:tcPr>
          <w:p>
            <w:pPr>
              <w:spacing w:after="0"/>
              <w:rPr>
                <w:sz w:val="18"/>
                <w:szCs w:val="18"/>
                <w:color w:val="auto"/>
              </w:rPr>
            </w:pPr>
          </w:p>
        </w:tc>
        <w:tc>
          <w:tcPr>
            <w:tcW w:w="520" w:type="dxa"/>
            <w:vAlign w:val="bottom"/>
            <w:gridSpan w:val="5"/>
            <w:shd w:val="clear" w:color="auto" w:fill="CCEEFF"/>
          </w:tcPr>
          <w:p>
            <w:pPr>
              <w:ind w:left="120"/>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2023</w:t>
              </w:r>
            </w:hyperlink>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94967237"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37"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5"/>
                <w:szCs w:val="15"/>
                <w:color w:val="auto"/>
              </w:rPr>
            </w:pPr>
          </w:p>
        </w:tc>
        <w:tc>
          <w:tcPr>
            <w:tcW w:w="36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Registration Rights Agreement dated</w:t>
              </w:r>
            </w:hyperlink>
          </w:p>
        </w:tc>
        <w:tc>
          <w:tcPr>
            <w:tcW w:w="680" w:type="dxa"/>
            <w:vAlign w:val="bottom"/>
            <w:gridSpan w:val="2"/>
            <w:shd w:val="clear" w:color="auto" w:fill="CCEEFF"/>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August 15, 2023</w:t>
            </w:r>
          </w:p>
        </w:tc>
        <w:tc>
          <w:tcPr>
            <w:tcW w:w="1120" w:type="dxa"/>
            <w:vAlign w:val="bottom"/>
            <w:shd w:val="clear" w:color="auto" w:fill="CCEEFF"/>
          </w:tcPr>
          <w:p>
            <w:pPr>
              <w:spacing w:after="0"/>
              <w:rPr>
                <w:sz w:val="15"/>
                <w:szCs w:val="15"/>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February 28, 2023</w:t>
              </w:r>
            </w:hyperlink>
          </w:p>
        </w:tc>
        <w:tc>
          <w:tcPr>
            <w:tcW w:w="24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94967237"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37"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Demand Promissory Note, dated February 28,</w:t>
              </w:r>
            </w:hyperlink>
          </w:p>
        </w:tc>
        <w:tc>
          <w:tcPr>
            <w:tcW w:w="120" w:type="dxa"/>
            <w:vAlign w:val="bottom"/>
            <w:tcBorders>
              <w:bottom w:val="single" w:sz="8" w:color="CCEEFF"/>
            </w:tcBorders>
            <w:gridSpan w:val="6"/>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August 15,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2023, by and between HUB Cyber Security Ltd.</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and Dominion Capital LLC</w:t>
              </w:r>
            </w:hyperlink>
          </w:p>
        </w:tc>
        <w:tc>
          <w:tcPr>
            <w:tcW w:w="24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94967237"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37"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First Amendment to Senior Secured Demand</w:t>
              </w:r>
            </w:hyperlink>
          </w:p>
        </w:tc>
        <w:tc>
          <w:tcPr>
            <w:tcW w:w="120" w:type="dxa"/>
            <w:vAlign w:val="bottom"/>
            <w:tcBorders>
              <w:bottom w:val="single" w:sz="8" w:color="CCEEFF"/>
            </w:tcBorders>
            <w:gridSpan w:val="6"/>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August 15,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Promissory Note dated March 28, 2023, by and</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between  HUB  Cyber  Security  Ltd.  and</w:t>
              </w:r>
            </w:hyperlink>
          </w:p>
        </w:tc>
        <w:tc>
          <w:tcPr>
            <w:tcW w:w="12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Dominion Capital LLC</w:t>
              </w:r>
            </w:hyperlink>
          </w:p>
        </w:tc>
        <w:tc>
          <w:tcPr>
            <w:tcW w:w="24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94967237"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37"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Equity Purchase Agreement, dated March 28,</w:t>
              </w:r>
            </w:hyperlink>
          </w:p>
        </w:tc>
        <w:tc>
          <w:tcPr>
            <w:tcW w:w="120" w:type="dxa"/>
            <w:vAlign w:val="bottom"/>
            <w:tcBorders>
              <w:bottom w:val="single" w:sz="8" w:color="CCEEFF"/>
            </w:tcBorders>
            <w:gridSpan w:val="6"/>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6-K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March 30,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2023 by and between HUB Cyber Security Ltd.</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and Dominion Capital LLC</w:t>
              </w:r>
            </w:hyperlink>
          </w:p>
        </w:tc>
        <w:tc>
          <w:tcPr>
            <w:tcW w:w="24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294967237" w:type="dxa"/>
            <w:vAlign w:val="bottom"/>
            <w:tcBorders>
              <w:top w:val="single" w:sz="8" w:color="0000EE"/>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37"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Securities Purchase Agreement, dated May 4,</w:t>
              </w:r>
            </w:hyperlink>
          </w:p>
        </w:tc>
        <w:tc>
          <w:tcPr>
            <w:tcW w:w="120" w:type="dxa"/>
            <w:vAlign w:val="bottom"/>
            <w:tcBorders>
              <w:bottom w:val="single" w:sz="8" w:color="CCEEFF"/>
            </w:tcBorders>
            <w:gridSpan w:val="6"/>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6-K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May 8,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2023 by and between HUB Cyber Security Ltd.</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and Lind Global Asset Management VI LLC</w:t>
              </w:r>
            </w:hyperlink>
          </w:p>
        </w:tc>
        <w:tc>
          <w:tcPr>
            <w:tcW w:w="12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gridSpan w:val="2"/>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37"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Convertible Promissory Note</w:t>
              </w:r>
            </w:hyperlink>
          </w:p>
        </w:tc>
        <w:tc>
          <w:tcPr>
            <w:tcW w:w="6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6-K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May 8, 2023</w:t>
            </w:r>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37"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shd w:val="clear" w:color="auto" w:fill="CCEEFF"/>
          </w:tcPr>
          <w:p>
            <w:pPr>
              <w:spacing w:after="0"/>
              <w:rPr>
                <w:sz w:val="17"/>
                <w:szCs w:val="17"/>
                <w:color w:val="auto"/>
              </w:rPr>
            </w:pPr>
          </w:p>
        </w:tc>
        <w:tc>
          <w:tcPr>
            <w:tcW w:w="174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Warrant</w:t>
              </w:r>
            </w:hyperlink>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94967237"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6-K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May 8, 2023</w:t>
            </w:r>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37"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First  Amendment  to  Securities  Purchase</w:t>
              </w:r>
            </w:hyperlink>
          </w:p>
        </w:tc>
        <w:tc>
          <w:tcPr>
            <w:tcW w:w="80" w:type="dxa"/>
            <w:vAlign w:val="bottom"/>
            <w:tcBorders>
              <w:bottom w:val="single" w:sz="8" w:color="CCEEFF"/>
            </w:tcBorders>
            <w:gridSpan w:val="4"/>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6-K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August 25,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Agreement,</w:t>
              </w:r>
            </w:hyperlink>
          </w:p>
        </w:tc>
        <w:tc>
          <w:tcPr>
            <w:tcW w:w="740" w:type="dxa"/>
            <w:vAlign w:val="bottom"/>
            <w:tcBorders>
              <w:bottom w:val="single" w:sz="8" w:color="0000EE"/>
            </w:tcBorders>
            <w:gridSpan w:val="4"/>
            <w:shd w:val="clear" w:color="auto" w:fill="CCEEFF"/>
          </w:tcPr>
          <w:p>
            <w:pPr>
              <w:ind w:left="100"/>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Senior</w:t>
              </w:r>
            </w:hyperlink>
          </w:p>
        </w:tc>
        <w:tc>
          <w:tcPr>
            <w:tcW w:w="760" w:type="dxa"/>
            <w:vAlign w:val="bottom"/>
            <w:tcBorders>
              <w:bottom w:val="single" w:sz="8" w:color="0000EE"/>
            </w:tcBorders>
            <w:gridSpan w:val="2"/>
            <w:shd w:val="clear" w:color="auto" w:fill="CCEEFF"/>
          </w:tcPr>
          <w:p>
            <w:pPr>
              <w:ind w:left="60"/>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Secured</w:t>
              </w:r>
            </w:hyperlink>
          </w:p>
        </w:tc>
        <w:tc>
          <w:tcPr>
            <w:tcW w:w="980" w:type="dxa"/>
            <w:vAlign w:val="bottom"/>
            <w:tcBorders>
              <w:bottom w:val="single" w:sz="8" w:color="0000EE"/>
            </w:tcBorders>
            <w:gridSpan w:val="4"/>
            <w:shd w:val="clear" w:color="auto" w:fill="CCEEFF"/>
          </w:tcPr>
          <w:p>
            <w:pPr>
              <w:ind w:left="120"/>
              <w:spacing w:after="0" w:line="196"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Convertible</w:t>
              </w:r>
            </w:hyperlink>
          </w:p>
        </w:tc>
        <w:tc>
          <w:tcPr>
            <w:tcW w:w="120" w:type="dxa"/>
            <w:vAlign w:val="bottom"/>
            <w:tcBorders>
              <w:bottom w:val="single" w:sz="8" w:color="CCEEFF"/>
            </w:tcBorders>
            <w:gridSpan w:val="6"/>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Promissory Note and Warrant, by and between</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HUB Cyber Security Ltd. and Lind Global</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Asset Management VI LLC, dated August 24,</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760" w:type="dxa"/>
            <w:vAlign w:val="bottom"/>
            <w:gridSpan w:val="6"/>
            <w:shd w:val="clear" w:color="auto" w:fill="CCEEFF"/>
          </w:tcPr>
          <w:p>
            <w:pPr>
              <w:ind w:left="120"/>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2023.</w:t>
              </w:r>
            </w:hyperlink>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94967237"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37"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Second  Amendment  to  Securities  Purchase</w:t>
              </w:r>
            </w:hyperlink>
          </w:p>
        </w:tc>
        <w:tc>
          <w:tcPr>
            <w:tcW w:w="120" w:type="dxa"/>
            <w:vAlign w:val="bottom"/>
            <w:tcBorders>
              <w:bottom w:val="single" w:sz="8" w:color="CCEEFF"/>
            </w:tcBorders>
            <w:gridSpan w:val="6"/>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6-K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November 29,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Agreement,</w:t>
              </w:r>
            </w:hyperlink>
          </w:p>
        </w:tc>
        <w:tc>
          <w:tcPr>
            <w:tcW w:w="740" w:type="dxa"/>
            <w:vAlign w:val="bottom"/>
            <w:tcBorders>
              <w:bottom w:val="single" w:sz="8" w:color="0000EE"/>
            </w:tcBorders>
            <w:gridSpan w:val="4"/>
            <w:shd w:val="clear" w:color="auto" w:fill="CCEEFF"/>
          </w:tcPr>
          <w:p>
            <w:pPr>
              <w:ind w:left="100"/>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Senior</w:t>
              </w:r>
            </w:hyperlink>
          </w:p>
        </w:tc>
        <w:tc>
          <w:tcPr>
            <w:tcW w:w="760" w:type="dxa"/>
            <w:vAlign w:val="bottom"/>
            <w:tcBorders>
              <w:bottom w:val="single" w:sz="8" w:color="0000EE"/>
            </w:tcBorders>
            <w:gridSpan w:val="2"/>
            <w:shd w:val="clear" w:color="auto" w:fill="CCEEFF"/>
          </w:tcPr>
          <w:p>
            <w:pPr>
              <w:ind w:left="60"/>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Secured</w:t>
              </w:r>
            </w:hyperlink>
          </w:p>
        </w:tc>
        <w:tc>
          <w:tcPr>
            <w:tcW w:w="980" w:type="dxa"/>
            <w:vAlign w:val="bottom"/>
            <w:tcBorders>
              <w:bottom w:val="single" w:sz="8" w:color="0000EE"/>
            </w:tcBorders>
            <w:gridSpan w:val="4"/>
            <w:shd w:val="clear" w:color="auto" w:fill="CCEEFF"/>
          </w:tcPr>
          <w:p>
            <w:pPr>
              <w:ind w:left="120"/>
              <w:spacing w:after="0" w:line="196"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Convertible</w:t>
              </w:r>
            </w:hyperlink>
          </w:p>
        </w:tc>
        <w:tc>
          <w:tcPr>
            <w:tcW w:w="120" w:type="dxa"/>
            <w:vAlign w:val="bottom"/>
            <w:tcBorders>
              <w:bottom w:val="single" w:sz="8" w:color="CCEEFF"/>
            </w:tcBorders>
            <w:gridSpan w:val="6"/>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Promissory Note and Warrant, by and between</w:t>
              </w:r>
            </w:hyperlink>
          </w:p>
        </w:tc>
        <w:tc>
          <w:tcPr>
            <w:tcW w:w="60" w:type="dxa"/>
            <w:vAlign w:val="bottom"/>
            <w:tcBorders>
              <w:bottom w:val="single" w:sz="8" w:color="CCEEFF"/>
            </w:tcBorders>
            <w:gridSpan w:val="3"/>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HUB Cyber Security Ltd. and Lind Global</w:t>
              </w:r>
            </w:hyperlink>
          </w:p>
        </w:tc>
        <w:tc>
          <w:tcPr>
            <w:tcW w:w="100" w:type="dxa"/>
            <w:vAlign w:val="bottom"/>
            <w:tcBorders>
              <w:bottom w:val="single" w:sz="8" w:color="CCEEFF"/>
            </w:tcBorders>
            <w:gridSpan w:val="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Asset Management VI LLC, dated November</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28, 2023</w:t>
              </w:r>
              <w:r>
                <w:rPr>
                  <w:rFonts w:ascii="Times New Roman" w:cs="Times New Roman" w:eastAsia="Times New Roman" w:hAnsi="Times New Roman"/>
                  <w:sz w:val="18"/>
                  <w:szCs w:val="18"/>
                  <w:color w:val="000000"/>
                </w:rPr>
                <w:t>.</w:t>
              </w:r>
            </w:hyperlink>
          </w:p>
        </w:tc>
        <w:tc>
          <w:tcPr>
            <w:tcW w:w="2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94967237"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94967237"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English  Translation  of  Convertible  Loan</w:t>
              </w:r>
            </w:hyperlink>
          </w:p>
        </w:tc>
        <w:tc>
          <w:tcPr>
            <w:tcW w:w="80" w:type="dxa"/>
            <w:vAlign w:val="bottom"/>
            <w:tcBorders>
              <w:bottom w:val="single" w:sz="8" w:color="CCEEFF"/>
            </w:tcBorders>
            <w:gridSpan w:val="4"/>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20-F</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August 15,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Agreement,  dated  June  11,  2023,  by  and</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0" w:type="dxa"/>
            <w:vAlign w:val="bottom"/>
            <w:gridSpan w:val="14"/>
            <w:shd w:val="clear" w:color="auto" w:fill="0000EE"/>
          </w:tcPr>
          <w:p>
            <w:pPr>
              <w:spacing w:after="0" w:line="20" w:lineRule="exact"/>
              <w:rPr>
                <w:sz w:val="1"/>
                <w:szCs w:val="1"/>
                <w:color w:val="auto"/>
              </w:rPr>
            </w:pPr>
          </w:p>
        </w:tc>
        <w:tc>
          <w:tcPr>
            <w:tcW w:w="120" w:type="dxa"/>
            <w:vAlign w:val="bottom"/>
            <w:gridSpan w:val="6"/>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between, Hub Cyber Security Ltd. and Shayna</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L.P.</w:t>
              </w:r>
            </w:hyperlink>
          </w:p>
        </w:tc>
        <w:tc>
          <w:tcPr>
            <w:tcW w:w="20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294967237"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37"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120" w:type="dxa"/>
            <w:vAlign w:val="bottom"/>
            <w:tcBorders>
              <w:bottom w:val="single" w:sz="8" w:color="auto"/>
            </w:tcBorders>
          </w:tcPr>
          <w:p>
            <w:pPr>
              <w:spacing w:after="0"/>
              <w:rPr>
                <w:sz w:val="21"/>
                <w:szCs w:val="21"/>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Filed /</w:t>
            </w: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1"/>
                <w:szCs w:val="21"/>
                <w:color w:val="auto"/>
              </w:rPr>
            </w:pPr>
          </w:p>
        </w:tc>
        <w:tc>
          <w:tcPr>
            <w:tcW w:w="36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1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r>
      <w:tr>
        <w:trPr>
          <w:trHeight w:val="175"/>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3500" w:type="dxa"/>
            <w:vAlign w:val="bottom"/>
            <w:tcBorders>
              <w:top w:val="single" w:sz="8" w:color="auto"/>
              <w:bottom w:val="single" w:sz="8" w:color="0000EE"/>
              <w:right w:val="single" w:sz="8" w:color="CCEEFF"/>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English  Translation  of  Convertible  Loan</w:t>
              </w:r>
            </w:hyperlink>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auto"/>
              <w:bottom w:val="single" w:sz="8" w:color="CCEEFF"/>
            </w:tcBorders>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15, 2023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Agreement, dated July 9, 2023, by and between,</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Hub Cyber Security Ltd. and Shayna L.P.</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5"/>
                <w:szCs w:val="15"/>
                <w:color w:val="auto"/>
              </w:rPr>
            </w:pPr>
          </w:p>
        </w:tc>
        <w:tc>
          <w:tcPr>
            <w:tcW w:w="36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Financial Advisory Services Agreement dated</w:t>
              </w:r>
            </w:hyperlink>
          </w:p>
        </w:tc>
        <w:tc>
          <w:tcPr>
            <w:tcW w:w="6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15, 2023</w:t>
            </w:r>
          </w:p>
        </w:tc>
        <w:tc>
          <w:tcPr>
            <w:tcW w:w="1120" w:type="dxa"/>
            <w:vAlign w:val="bottom"/>
            <w:shd w:val="clear" w:color="auto" w:fill="CCEEFF"/>
          </w:tcPr>
          <w:p>
            <w:pPr>
              <w:spacing w:after="0"/>
              <w:rPr>
                <w:sz w:val="15"/>
                <w:szCs w:val="15"/>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as of July 20, 2021, by and between Hub Cyber</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520" w:type="dxa"/>
            <w:vAlign w:val="bottom"/>
            <w:tcBorders>
              <w:top w:val="single" w:sz="8" w:color="0000EE"/>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Security Ltd. and A-Labs Finance and Advisory</w:t>
              </w:r>
            </w:hyperlink>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Ltd.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20" w:type="dxa"/>
            <w:vAlign w:val="bottom"/>
            <w:shd w:val="clear" w:color="auto" w:fill="CCEEFF"/>
          </w:tcPr>
          <w:p>
            <w:pPr>
              <w:spacing w:after="0"/>
              <w:rPr>
                <w:sz w:val="15"/>
                <w:szCs w:val="15"/>
                <w:color w:val="auto"/>
              </w:rPr>
            </w:pPr>
          </w:p>
        </w:tc>
        <w:tc>
          <w:tcPr>
            <w:tcW w:w="36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Addendum  No.  1  to  Financial  Advisory</w:t>
              </w:r>
            </w:hyperlink>
          </w:p>
        </w:tc>
        <w:tc>
          <w:tcPr>
            <w:tcW w:w="6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15, 2023</w:t>
            </w:r>
          </w:p>
        </w:tc>
        <w:tc>
          <w:tcPr>
            <w:tcW w:w="1120" w:type="dxa"/>
            <w:vAlign w:val="bottom"/>
            <w:shd w:val="clear" w:color="auto" w:fill="CCEEFF"/>
          </w:tcPr>
          <w:p>
            <w:pPr>
              <w:spacing w:after="0"/>
              <w:rPr>
                <w:sz w:val="15"/>
                <w:szCs w:val="15"/>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Services Agreement dated as of December 28,</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2022, by and between Hub Cyber Security Ltd.</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and A-Labs Finance and Advisory Ltd.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English Translation of Loan Agreement, dated</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15,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January 16, 2023 by and between HUB Cyber</w:t>
              </w:r>
            </w:hyperlink>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520" w:type="dxa"/>
            <w:vAlign w:val="bottom"/>
            <w:tcBorders>
              <w:top w:val="single" w:sz="8" w:color="0000EE"/>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Security Ltd. and A-Labs Finance and Advisory</w:t>
              </w:r>
            </w:hyperlink>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Ltd.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Commitment Letter, dated November 16, 2021</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15,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by and among, Bank Mizrahi Tefahot Ltd, HUB</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Cyber Security Ltd. and Comsec Ltd.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Securities Purchase Agreement by and</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between HUB Cyber Security Ltd. and First</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2023-2024 Accredited Investors.</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Convertible Promissory Note by and</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between HUB Cyber Security Ltd. and First</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2023-2024 Accredited Investors.</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20" w:type="dxa"/>
            <w:vAlign w:val="bottom"/>
            <w:shd w:val="clear" w:color="auto" w:fill="CCEEFF"/>
          </w:tcPr>
          <w:p>
            <w:pPr>
              <w:spacing w:after="0"/>
              <w:rPr>
                <w:sz w:val="15"/>
                <w:szCs w:val="15"/>
                <w:color w:val="auto"/>
              </w:rPr>
            </w:pPr>
          </w:p>
        </w:tc>
        <w:tc>
          <w:tcPr>
            <w:tcW w:w="36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Warrant issued by HUB Cyber Security</w:t>
              </w:r>
            </w:hyperlink>
          </w:p>
        </w:tc>
        <w:tc>
          <w:tcPr>
            <w:tcW w:w="68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shd w:val="clear" w:color="auto" w:fill="CCEEFF"/>
          </w:tcPr>
          <w:p>
            <w:pPr>
              <w:spacing w:after="0"/>
              <w:rPr>
                <w:sz w:val="15"/>
                <w:szCs w:val="15"/>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Ltd. to First 2023-2024 Accredited Investors.</w:t>
              </w:r>
            </w:hyperlink>
          </w:p>
        </w:tc>
        <w:tc>
          <w:tcPr>
            <w:tcW w:w="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Securities Purchase Agreement by and</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between HUB Cyber Security Ltd. and Second</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2023-2024 Accredited Investors.</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Convertible Promissory Note by and</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between HUB Cyber Security Ltd. and Second</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2023-2024 Accredited Investors.</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120" w:type="dxa"/>
            <w:vAlign w:val="bottom"/>
            <w:shd w:val="clear" w:color="auto" w:fill="CCEEFF"/>
          </w:tcPr>
          <w:p>
            <w:pPr>
              <w:spacing w:after="0"/>
              <w:rPr>
                <w:sz w:val="15"/>
                <w:szCs w:val="15"/>
                <w:color w:val="auto"/>
              </w:rPr>
            </w:pPr>
          </w:p>
        </w:tc>
        <w:tc>
          <w:tcPr>
            <w:tcW w:w="36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Warrant issued by HUB Cyber Security</w:t>
              </w:r>
            </w:hyperlink>
          </w:p>
        </w:tc>
        <w:tc>
          <w:tcPr>
            <w:tcW w:w="68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shd w:val="clear" w:color="auto" w:fill="CCEEFF"/>
          </w:tcPr>
          <w:p>
            <w:pPr>
              <w:spacing w:after="0"/>
              <w:rPr>
                <w:sz w:val="15"/>
                <w:szCs w:val="15"/>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Ltd. to Second 2023-2024 Accredited Investors.</w:t>
              </w:r>
            </w:hyperlink>
          </w:p>
        </w:tc>
        <w:tc>
          <w:tcPr>
            <w:tcW w:w="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Securities Purchase Agreement by and</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between HUB Cyber Security Ltd. and March-</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June 2024 Investor.</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5"/>
                <w:szCs w:val="15"/>
                <w:color w:val="auto"/>
              </w:rPr>
            </w:pPr>
          </w:p>
        </w:tc>
        <w:tc>
          <w:tcPr>
            <w:tcW w:w="36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Amendment to Securities Purchase Agreement,</w:t>
              </w:r>
            </w:hyperlink>
          </w:p>
        </w:tc>
        <w:tc>
          <w:tcPr>
            <w:tcW w:w="68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shd w:val="clear" w:color="auto" w:fill="CCEEFF"/>
          </w:tcPr>
          <w:p>
            <w:pPr>
              <w:spacing w:after="0"/>
              <w:rPr>
                <w:sz w:val="15"/>
                <w:szCs w:val="15"/>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Warrant and Note, dated April 3, 2024.</w:t>
              </w:r>
            </w:hyperlink>
          </w:p>
        </w:tc>
        <w:tc>
          <w:tcPr>
            <w:tcW w:w="8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120" w:type="dxa"/>
            <w:vAlign w:val="bottom"/>
            <w:tcBorders>
              <w:bottom w:val="single" w:sz="8" w:color="auto"/>
            </w:tcBorders>
          </w:tcPr>
          <w:p>
            <w:pPr>
              <w:spacing w:after="0"/>
              <w:rPr>
                <w:sz w:val="21"/>
                <w:szCs w:val="21"/>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Filed /</w:t>
            </w: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1"/>
                <w:szCs w:val="21"/>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r>
      <w:tr>
        <w:trPr>
          <w:trHeight w:val="175"/>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3520" w:type="dxa"/>
            <w:vAlign w:val="bottom"/>
            <w:tcBorders>
              <w:top w:val="single" w:sz="8" w:color="auto"/>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Second  Amendment  to  Securities  Purchase</w:t>
              </w:r>
            </w:hyperlink>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Agreement, Warrants and Notes, dated June 26,</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ind w:left="120"/>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2024.</w:t>
              </w:r>
            </w:hyperlink>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bottom w:val="single" w:sz="8" w:color="CCEEFF"/>
            </w:tcBorders>
            <w:shd w:val="clear" w:color="auto" w:fill="CCEEFF"/>
          </w:tcPr>
          <w:p>
            <w:pPr>
              <w:spacing w:after="0"/>
              <w:rPr>
                <w:sz w:val="15"/>
                <w:szCs w:val="15"/>
                <w:color w:val="auto"/>
              </w:rPr>
            </w:pPr>
          </w:p>
        </w:tc>
        <w:tc>
          <w:tcPr>
            <w:tcW w:w="354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Convertible Promissory Note by and</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between HUB Cyber Security Ltd. and March-</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June 2024 Investor.</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120" w:type="dxa"/>
            <w:vAlign w:val="bottom"/>
            <w:tcBorders>
              <w:bottom w:val="single" w:sz="8" w:color="CCEEFF"/>
            </w:tcBorders>
            <w:shd w:val="clear" w:color="auto" w:fill="CCEEFF"/>
          </w:tcPr>
          <w:p>
            <w:pPr>
              <w:spacing w:after="0"/>
              <w:rPr>
                <w:sz w:val="15"/>
                <w:szCs w:val="15"/>
                <w:color w:val="auto"/>
              </w:rPr>
            </w:pPr>
          </w:p>
        </w:tc>
        <w:tc>
          <w:tcPr>
            <w:tcW w:w="354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Warrant issued by HUB Cyber Security</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Ltd. to March-June 2024 Investor.</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120" w:type="dxa"/>
            <w:vAlign w:val="bottom"/>
            <w:shd w:val="clear" w:color="auto" w:fill="CCEEFF"/>
          </w:tcPr>
          <w:p>
            <w:pPr>
              <w:spacing w:after="0"/>
              <w:rPr>
                <w:sz w:val="15"/>
                <w:szCs w:val="15"/>
                <w:color w:val="auto"/>
              </w:rPr>
            </w:pPr>
          </w:p>
        </w:tc>
        <w:tc>
          <w:tcPr>
            <w:tcW w:w="36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Share  Purchase  Agreement  between  HUB</w:t>
              </w:r>
            </w:hyperlink>
          </w:p>
        </w:tc>
        <w:tc>
          <w:tcPr>
            <w:tcW w:w="68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shd w:val="clear" w:color="auto" w:fill="CCEEFF"/>
          </w:tcPr>
          <w:p>
            <w:pPr>
              <w:spacing w:after="0"/>
              <w:rPr>
                <w:sz w:val="15"/>
                <w:szCs w:val="15"/>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CCEEFF"/>
            </w:tcBorders>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Cyber Security Ltd., Gyro Sky Solutions Ltd.,</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Dolet  Systems  Ltd.,  Gari  Brizinov,  Yaacov</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Golpur, Qpoint Technologies Ltd., Sensecom</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Consulting  and  Projects  Management  Ltd.,</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Aginix Engineering and Project Management</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Ltd.  and  Integral  Telemanagement  Services</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Ltd., dated April 3, 2024.#†</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bottom w:val="single" w:sz="8" w:color="CCEEFF"/>
            </w:tcBorders>
            <w:shd w:val="clear" w:color="auto" w:fill="CCEEFF"/>
          </w:tcPr>
          <w:p>
            <w:pPr>
              <w:spacing w:after="0"/>
              <w:rPr>
                <w:sz w:val="15"/>
                <w:szCs w:val="15"/>
                <w:color w:val="auto"/>
              </w:rPr>
            </w:pPr>
          </w:p>
        </w:tc>
        <w:tc>
          <w:tcPr>
            <w:tcW w:w="354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Loan and Security Agreement, dated December</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4, 2023, among HUB Cyber Security Ltd. and</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Blackswan Technologies, Inc.</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5"/>
                <w:szCs w:val="15"/>
                <w:color w:val="auto"/>
              </w:rPr>
            </w:pPr>
          </w:p>
        </w:tc>
        <w:tc>
          <w:tcPr>
            <w:tcW w:w="428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 xml:space="preserve">First   Amendment   to   Convertible   Loan   </w:t>
              </w:r>
            </w:hyperlink>
            <w:r>
              <w:rPr>
                <w:rFonts w:ascii="Times New Roman" w:cs="Times New Roman" w:eastAsia="Times New Roman" w:hAnsi="Times New Roman"/>
                <w:sz w:val="18"/>
                <w:szCs w:val="18"/>
                <w:color w:val="000000"/>
              </w:rPr>
              <w:t>20-F</w:t>
            </w:r>
          </w:p>
        </w:tc>
        <w:tc>
          <w:tcPr>
            <w:tcW w:w="1120" w:type="dxa"/>
            <w:vAlign w:val="bottom"/>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shd w:val="clear" w:color="auto" w:fill="CCEEFF"/>
          </w:tcPr>
          <w:p>
            <w:pPr>
              <w:spacing w:after="0"/>
              <w:rPr>
                <w:sz w:val="15"/>
                <w:szCs w:val="15"/>
                <w:color w:val="auto"/>
              </w:rPr>
            </w:pPr>
          </w:p>
        </w:tc>
      </w:tr>
      <w:tr>
        <w:trPr>
          <w:trHeight w:val="196"/>
        </w:trPr>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540" w:type="dxa"/>
            <w:vAlign w:val="bottom"/>
            <w:tcBorders>
              <w:top w:val="single" w:sz="8" w:color="0000EE"/>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Agreement, dated August 17, 2023, by and</w:t>
              </w:r>
            </w:hyperlink>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between HUB Cyber Security Ltd. and Shayna</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LP</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120" w:type="dxa"/>
            <w:vAlign w:val="bottom"/>
            <w:shd w:val="clear" w:color="auto" w:fill="CCEEFF"/>
          </w:tcPr>
          <w:p>
            <w:pPr>
              <w:spacing w:after="0"/>
              <w:rPr>
                <w:sz w:val="15"/>
                <w:szCs w:val="15"/>
                <w:color w:val="auto"/>
              </w:rPr>
            </w:pPr>
          </w:p>
        </w:tc>
        <w:tc>
          <w:tcPr>
            <w:tcW w:w="428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 xml:space="preserve">First   Amendment   to   Convertible   Loan   </w:t>
              </w:r>
            </w:hyperlink>
            <w:r>
              <w:rPr>
                <w:rFonts w:ascii="Times New Roman" w:cs="Times New Roman" w:eastAsia="Times New Roman" w:hAnsi="Times New Roman"/>
                <w:sz w:val="18"/>
                <w:szCs w:val="18"/>
                <w:color w:val="000000"/>
              </w:rPr>
              <w:t>20-F</w:t>
            </w:r>
          </w:p>
        </w:tc>
        <w:tc>
          <w:tcPr>
            <w:tcW w:w="1120" w:type="dxa"/>
            <w:vAlign w:val="bottom"/>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shd w:val="clear" w:color="auto" w:fill="CCEEFF"/>
          </w:tcPr>
          <w:p>
            <w:pPr>
              <w:spacing w:after="0"/>
              <w:rPr>
                <w:sz w:val="15"/>
                <w:szCs w:val="15"/>
                <w:color w:val="auto"/>
              </w:rPr>
            </w:pPr>
          </w:p>
        </w:tc>
      </w:tr>
      <w:tr>
        <w:trPr>
          <w:trHeight w:val="196"/>
        </w:trPr>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540" w:type="dxa"/>
            <w:vAlign w:val="bottom"/>
            <w:tcBorders>
              <w:top w:val="single" w:sz="8" w:color="0000EE"/>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Agreement, dated March 31, 2024, by and</w:t>
              </w:r>
            </w:hyperlink>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between HUB Cyber Security Ltd., Shayna LP</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and Akina Holdings Limited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120" w:type="dxa"/>
            <w:vAlign w:val="bottom"/>
            <w:tcBorders>
              <w:bottom w:val="single" w:sz="8" w:color="CCEEFF"/>
            </w:tcBorders>
            <w:shd w:val="clear" w:color="auto" w:fill="CCEEFF"/>
          </w:tcPr>
          <w:p>
            <w:pPr>
              <w:spacing w:after="0"/>
              <w:rPr>
                <w:sz w:val="15"/>
                <w:szCs w:val="15"/>
                <w:color w:val="auto"/>
              </w:rPr>
            </w:pPr>
          </w:p>
        </w:tc>
        <w:tc>
          <w:tcPr>
            <w:tcW w:w="354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Second  Amendment  to  Convertible  Loan</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Agreement,  dated  April  18,  2024,  by  and</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between HUB Cyber Security Ltd., Shayna LP</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and Akina Holdings Limited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5"/>
                <w:szCs w:val="15"/>
                <w:color w:val="auto"/>
              </w:rPr>
            </w:pPr>
          </w:p>
        </w:tc>
        <w:tc>
          <w:tcPr>
            <w:tcW w:w="428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 xml:space="preserve">Third  Amendment  to  Convertible  Loan   </w:t>
              </w:r>
            </w:hyperlink>
            <w:r>
              <w:rPr>
                <w:rFonts w:ascii="Times New Roman" w:cs="Times New Roman" w:eastAsia="Times New Roman" w:hAnsi="Times New Roman"/>
                <w:sz w:val="18"/>
                <w:szCs w:val="18"/>
                <w:color w:val="000000"/>
              </w:rPr>
              <w:t>20-F</w:t>
            </w:r>
          </w:p>
        </w:tc>
        <w:tc>
          <w:tcPr>
            <w:tcW w:w="1120" w:type="dxa"/>
            <w:vAlign w:val="bottom"/>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shd w:val="clear" w:color="auto" w:fill="CCEEFF"/>
          </w:tcPr>
          <w:p>
            <w:pPr>
              <w:spacing w:after="0"/>
              <w:rPr>
                <w:sz w:val="15"/>
                <w:szCs w:val="15"/>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40" w:type="dxa"/>
            <w:vAlign w:val="bottom"/>
            <w:tcBorders>
              <w:right w:val="single" w:sz="8" w:color="CCEEFF"/>
            </w:tcBorders>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Agreement, dated May 9 2024, by and between</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HUB  Cyber  Security  Ltd.,  Shayna  LP  and</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Akina Holdings Limited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120" w:type="dxa"/>
            <w:vAlign w:val="bottom"/>
            <w:tcBorders>
              <w:bottom w:val="single" w:sz="8" w:color="CCEEFF"/>
            </w:tcBorders>
            <w:shd w:val="clear" w:color="auto" w:fill="CCEEFF"/>
          </w:tcPr>
          <w:p>
            <w:pPr>
              <w:spacing w:after="0"/>
              <w:rPr>
                <w:sz w:val="15"/>
                <w:szCs w:val="15"/>
                <w:color w:val="auto"/>
              </w:rPr>
            </w:pPr>
          </w:p>
        </w:tc>
        <w:tc>
          <w:tcPr>
            <w:tcW w:w="354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English Translation of Form of Debt Settlement</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Agreement, dated March 24, 2024, between a</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vendor, Comsec Ltd., Comsec Distribution Ltd.</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and Hub Cyber Security Ltd.</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120" w:type="dxa"/>
            <w:vAlign w:val="bottom"/>
            <w:tcBorders>
              <w:bottom w:val="single" w:sz="8" w:color="CCEEFF"/>
            </w:tcBorders>
            <w:shd w:val="clear" w:color="auto" w:fill="CCEEFF"/>
          </w:tcPr>
          <w:p>
            <w:pPr>
              <w:spacing w:after="0"/>
              <w:rPr>
                <w:sz w:val="15"/>
                <w:szCs w:val="15"/>
                <w:color w:val="auto"/>
              </w:rPr>
            </w:pPr>
          </w:p>
        </w:tc>
        <w:tc>
          <w:tcPr>
            <w:tcW w:w="3540" w:type="dxa"/>
            <w:vAlign w:val="bottom"/>
            <w:tcBorders>
              <w:bottom w:val="single" w:sz="8" w:color="0000EE"/>
              <w:right w:val="single" w:sz="8" w:color="CCEE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Securities Purchase Agreement, dated</w:t>
            </w: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as of August 18, 2024, between HUB Cyber</w:t>
            </w: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right w:val="single" w:sz="8" w:color="CCEE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Security Ltd. and the investors identified on the</w:t>
            </w: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signature pages thereto</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CEEFF"/>
          </w:tcPr>
          <w:p>
            <w:pPr>
              <w:spacing w:after="0"/>
              <w:rPr>
                <w:sz w:val="15"/>
                <w:szCs w:val="15"/>
                <w:color w:val="auto"/>
              </w:rPr>
            </w:pPr>
          </w:p>
        </w:tc>
        <w:tc>
          <w:tcPr>
            <w:tcW w:w="3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Convertible  Note  issued  by  HUB</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0000EE"/>
              <w:right w:val="single" w:sz="8" w:color="CCEE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Cyber Security Ltd. on August 18, 2024</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120" w:type="dxa"/>
            <w:vAlign w:val="bottom"/>
            <w:tcBorders>
              <w:bottom w:val="single" w:sz="8" w:color="auto"/>
            </w:tcBorders>
          </w:tcPr>
          <w:p>
            <w:pPr>
              <w:spacing w:after="0"/>
              <w:rPr>
                <w:sz w:val="21"/>
                <w:szCs w:val="21"/>
                <w:color w:val="auto"/>
              </w:rPr>
            </w:pPr>
          </w:p>
        </w:tc>
      </w:tr>
      <w:tr>
        <w:trPr>
          <w:trHeight w:val="194"/>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Filed /</w:t>
            </w: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1"/>
                <w:szCs w:val="21"/>
                <w:color w:val="auto"/>
              </w:rPr>
            </w:pPr>
          </w:p>
        </w:tc>
        <w:tc>
          <w:tcPr>
            <w:tcW w:w="36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r>
      <w:tr>
        <w:trPr>
          <w:trHeight w:val="175"/>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3520" w:type="dxa"/>
            <w:vAlign w:val="bottom"/>
            <w:tcBorders>
              <w:top w:val="single" w:sz="8" w:color="auto"/>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Warrant issued by HUB Cyber Security</w:t>
            </w:r>
          </w:p>
        </w:tc>
        <w:tc>
          <w:tcPr>
            <w:tcW w:w="40" w:type="dxa"/>
            <w:vAlign w:val="bottom"/>
            <w:tcBorders>
              <w:top w:val="single" w:sz="8" w:color="auto"/>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Ltd. on August 18, 2024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bottom w:val="single" w:sz="8" w:color="CCEEFF"/>
            </w:tcBorders>
            <w:shd w:val="clear" w:color="auto" w:fill="CCEEFF"/>
          </w:tcPr>
          <w:p>
            <w:pPr>
              <w:spacing w:after="0"/>
              <w:rPr>
                <w:sz w:val="15"/>
                <w:szCs w:val="15"/>
                <w:color w:val="auto"/>
              </w:rPr>
            </w:pPr>
          </w:p>
        </w:tc>
        <w:tc>
          <w:tcPr>
            <w:tcW w:w="35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Placement Agent Warrant issued by</w:t>
            </w:r>
          </w:p>
        </w:tc>
        <w:tc>
          <w:tcPr>
            <w:tcW w:w="100" w:type="dxa"/>
            <w:vAlign w:val="bottom"/>
            <w:tcBorders>
              <w:bottom w:val="single" w:sz="8" w:color="CCEEFF"/>
            </w:tcBorders>
            <w:gridSpan w:val="5"/>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HUB Cyber Security Ltd. on August 18, 2024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bottom w:val="single" w:sz="8" w:color="CCEEFF"/>
            </w:tcBorders>
            <w:shd w:val="clear" w:color="auto" w:fill="CCEEFF"/>
          </w:tcPr>
          <w:p>
            <w:pPr>
              <w:spacing w:after="0"/>
              <w:rPr>
                <w:sz w:val="15"/>
                <w:szCs w:val="15"/>
                <w:color w:val="auto"/>
              </w:rPr>
            </w:pPr>
          </w:p>
        </w:tc>
        <w:tc>
          <w:tcPr>
            <w:tcW w:w="35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Business Combination Agreement, dated as of</w:t>
              </w:r>
            </w:hyperlink>
          </w:p>
        </w:tc>
        <w:tc>
          <w:tcPr>
            <w:tcW w:w="100" w:type="dxa"/>
            <w:vAlign w:val="bottom"/>
            <w:tcBorders>
              <w:bottom w:val="single" w:sz="8" w:color="CCEEFF"/>
            </w:tcBorders>
            <w:gridSpan w:val="5"/>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1120" w:type="dxa"/>
            <w:vAlign w:val="bottom"/>
            <w:tcBorders>
              <w:bottom w:val="single" w:sz="8" w:color="CCEEFF"/>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333-267035</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August 24, 2022</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March 23, 2022, by and among HUB Cyber</w:t>
              </w:r>
            </w:hyperlink>
          </w:p>
        </w:tc>
        <w:tc>
          <w:tcPr>
            <w:tcW w:w="100" w:type="dxa"/>
            <w:vAlign w:val="bottom"/>
            <w:tcBorders>
              <w:bottom w:val="single" w:sz="8" w:color="CCEEFF"/>
            </w:tcBorders>
            <w:gridSpan w:val="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Security Ltd., Mount Rainier Acquisition Corp.</w:t>
              </w:r>
            </w:hyperlink>
          </w:p>
        </w:tc>
        <w:tc>
          <w:tcPr>
            <w:tcW w:w="100" w:type="dxa"/>
            <w:vAlign w:val="bottom"/>
            <w:tcBorders>
              <w:bottom w:val="single" w:sz="8" w:color="CCEEFF"/>
            </w:tcBorders>
            <w:gridSpan w:val="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and Rover Merger Sub.</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10.47</w:t>
            </w:r>
          </w:p>
        </w:tc>
        <w:tc>
          <w:tcPr>
            <w:tcW w:w="120" w:type="dxa"/>
            <w:vAlign w:val="bottom"/>
            <w:tcBorders>
              <w:bottom w:val="single" w:sz="8" w:color="CCEEFF"/>
            </w:tcBorders>
            <w:shd w:val="clear" w:color="auto" w:fill="CCEEFF"/>
          </w:tcPr>
          <w:p>
            <w:pPr>
              <w:spacing w:after="0"/>
              <w:rPr>
                <w:sz w:val="15"/>
                <w:szCs w:val="15"/>
                <w:color w:val="auto"/>
              </w:rPr>
            </w:pPr>
          </w:p>
        </w:tc>
        <w:tc>
          <w:tcPr>
            <w:tcW w:w="35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Collaboration and Option Agreement by and</w:t>
            </w: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between  HUB  Cyber  Security  Ltd.  and</w:t>
            </w:r>
          </w:p>
        </w:tc>
        <w:tc>
          <w:tcPr>
            <w:tcW w:w="100" w:type="dxa"/>
            <w:vAlign w:val="bottom"/>
            <w:tcBorders>
              <w:bottom w:val="single" w:sz="8" w:color="CCEEFF"/>
            </w:tcBorders>
            <w:gridSpan w:val="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BlackSwan Technologies, Inc.</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7"/>
                <w:szCs w:val="17"/>
                <w:color w:val="auto"/>
              </w:rPr>
            </w:pPr>
          </w:p>
        </w:tc>
        <w:tc>
          <w:tcPr>
            <w:tcW w:w="3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List of Subsidiaries</w:t>
              </w:r>
            </w:hyperlink>
          </w:p>
        </w:tc>
        <w:tc>
          <w:tcPr>
            <w:tcW w:w="68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20-F</w:t>
            </w:r>
          </w:p>
        </w:tc>
        <w:tc>
          <w:tcPr>
            <w:tcW w:w="11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8.1</w:t>
            </w:r>
          </w:p>
        </w:tc>
        <w:tc>
          <w:tcPr>
            <w:tcW w:w="1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August 16, 2024</w:t>
            </w:r>
          </w:p>
        </w:tc>
        <w:tc>
          <w:tcPr>
            <w:tcW w:w="112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5"/>
                <w:szCs w:val="15"/>
                <w:color w:val="auto"/>
              </w:rPr>
            </w:pPr>
          </w:p>
        </w:tc>
        <w:tc>
          <w:tcPr>
            <w:tcW w:w="35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Kost Forer Gabbay &amp; Kasierer, a</w:t>
            </w:r>
          </w:p>
        </w:tc>
        <w:tc>
          <w:tcPr>
            <w:tcW w:w="60" w:type="dxa"/>
            <w:vAlign w:val="bottom"/>
            <w:tcBorders>
              <w:bottom w:val="single" w:sz="8" w:color="CCEEFF"/>
            </w:tcBorders>
            <w:gridSpan w:val="3"/>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Member of EY Global, Independent Registered</w:t>
            </w:r>
          </w:p>
        </w:tc>
        <w:tc>
          <w:tcPr>
            <w:tcW w:w="120" w:type="dxa"/>
            <w:vAlign w:val="bottom"/>
            <w:tcBorders>
              <w:bottom w:val="single" w:sz="8" w:color="CCEEFF"/>
            </w:tcBorders>
            <w:gridSpan w:val="6"/>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Public Accounting Firm</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Goldfarb Gross Seligman &amp; Co.</w:t>
            </w:r>
          </w:p>
        </w:tc>
        <w:tc>
          <w:tcPr>
            <w:tcW w:w="80" w:type="dxa"/>
            <w:vAlign w:val="bottom"/>
            <w:tcBorders>
              <w:bottom w:val="single" w:sz="8" w:color="CCEEFF"/>
            </w:tcBorders>
            <w:gridSpan w:val="4"/>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(included in Exhibit 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15"/>
                <w:szCs w:val="15"/>
                <w:color w:val="auto"/>
              </w:rPr>
            </w:pPr>
          </w:p>
        </w:tc>
        <w:tc>
          <w:tcPr>
            <w:tcW w:w="35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Greenberg Traurig, P.A. (included in</w:t>
            </w:r>
          </w:p>
        </w:tc>
        <w:tc>
          <w:tcPr>
            <w:tcW w:w="100" w:type="dxa"/>
            <w:vAlign w:val="bottom"/>
            <w:tcBorders>
              <w:bottom w:val="single" w:sz="8" w:color="CCEEFF"/>
            </w:tcBorders>
            <w:gridSpan w:val="5"/>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Exhibit 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Policy for Recovery of Erroneously Awarded</w:t>
              </w:r>
            </w:hyperlink>
          </w:p>
        </w:tc>
        <w:tc>
          <w:tcPr>
            <w:tcW w:w="120" w:type="dxa"/>
            <w:vAlign w:val="bottom"/>
            <w:tcBorders>
              <w:bottom w:val="single" w:sz="8" w:color="CCEEFF"/>
            </w:tcBorders>
            <w:gridSpan w:val="6"/>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6-K</w:t>
            </w:r>
          </w:p>
        </w:tc>
        <w:tc>
          <w:tcPr>
            <w:tcW w:w="112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001-41634</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Appendix A to</w:t>
            </w:r>
          </w:p>
        </w:tc>
        <w:tc>
          <w:tcPr>
            <w:tcW w:w="21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October 5, 2023</w:t>
            </w: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Compensation</w:t>
              </w:r>
            </w:hyperlink>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99.1</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36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Unofficial English translation from Hebrew original.</w:t>
      </w:r>
    </w:p>
    <w:p>
      <w:pPr>
        <w:spacing w:after="0" w:line="225" w:lineRule="exact"/>
        <w:rPr>
          <w:sz w:val="20"/>
          <w:szCs w:val="20"/>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Instructions as to Exhibits to Form F-1. The Registrant agrees to furnish supplementally a copy of any omitted schedule or exhibit to the SEC upon request.</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 or arrangement.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agreements filed as exhibits to this Registration Statement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Jerusalem, Israel on this 13th day of September 2024.</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HUB CYBER SECURITY LTD.</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Noah Hershcoviz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Noah Hershcoviz</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Noah Hershcoviz and Lior Davidsohn his true and lawful attorney-in-fact, with full power of substitution and resubstitution for him and in his name, place and stead, in any and all capacities to sign any and all amendments including pre- and post-effective amendments to this registration statement, any subsequent registration statement for the same offering which may be filed pursuant to Rule 462(b) under the Securities Act of 1933, as amended, and pre- or post-effective amendments thereto,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9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43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Noah Hershcoviz</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Noah Hershcoviz</w:t>
            </w:r>
          </w:p>
        </w:tc>
        <w:tc>
          <w:tcPr>
            <w:tcW w:w="1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and Financial Officer</w:t>
            </w:r>
            <w:r>
              <w:rPr>
                <w:rFonts w:ascii="Times New Roman" w:cs="Times New Roman" w:eastAsia="Times New Roman" w:hAnsi="Times New Roman"/>
                <w:sz w:val="18"/>
                <w:szCs w:val="18"/>
                <w:color w:val="auto"/>
              </w:rPr>
              <w:t>)</w:t>
            </w:r>
          </w:p>
        </w:tc>
        <w:tc>
          <w:tcPr>
            <w:tcW w:w="22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Lior Davidsohn</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182"/>
        </w:trPr>
        <w:tc>
          <w:tcPr>
            <w:tcW w:w="3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Lior Davidsohn</w:t>
            </w:r>
          </w:p>
        </w:tc>
        <w:tc>
          <w:tcPr>
            <w:tcW w:w="120" w:type="dxa"/>
            <w:vAlign w:val="bottom"/>
          </w:tcPr>
          <w:p>
            <w:pPr>
              <w:spacing w:after="0"/>
              <w:rPr>
                <w:sz w:val="15"/>
                <w:szCs w:val="15"/>
                <w:color w:val="auto"/>
              </w:rPr>
            </w:pPr>
          </w:p>
        </w:tc>
        <w:tc>
          <w:tcPr>
            <w:tcW w:w="50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w:t>
            </w:r>
          </w:p>
        </w:tc>
        <w:tc>
          <w:tcPr>
            <w:tcW w:w="2240" w:type="dxa"/>
            <w:vAlign w:val="bottom"/>
          </w:tcPr>
          <w:p>
            <w:pPr>
              <w:spacing w:after="0"/>
              <w:rPr>
                <w:sz w:val="15"/>
                <w:szCs w:val="15"/>
                <w:color w:val="auto"/>
              </w:rPr>
            </w:pPr>
          </w:p>
        </w:tc>
      </w:tr>
      <w:tr>
        <w:trPr>
          <w:trHeight w:val="236"/>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2240" w:type="dxa"/>
            <w:vAlign w:val="bottom"/>
          </w:tcPr>
          <w:p>
            <w:pPr>
              <w:spacing w:after="0"/>
              <w:rPr>
                <w:sz w:val="20"/>
                <w:szCs w:val="20"/>
                <w:color w:val="auto"/>
              </w:rPr>
            </w:pPr>
          </w:p>
        </w:tc>
      </w:tr>
      <w:tr>
        <w:trPr>
          <w:trHeight w:val="43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Nuriel Kasbian Chirich</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Nuriel Kasbian Chirich</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Lior Lurye</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Lior Lurye</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Ilan Flato</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Ilan Flato</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Uzi Moskovich</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Uzi Moskovich</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Kearney</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Matthew Kearney</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37"/>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ind w:left="1500"/>
              <w:spacing w:after="0"/>
              <w:rPr>
                <w:sz w:val="20"/>
                <w:szCs w:val="20"/>
                <w:color w:val="auto"/>
              </w:rPr>
            </w:pPr>
            <w:r>
              <w:rPr>
                <w:rFonts w:ascii="Times New Roman" w:cs="Times New Roman" w:eastAsia="Times New Roman" w:hAnsi="Times New Roman"/>
                <w:sz w:val="18"/>
                <w:szCs w:val="18"/>
                <w:color w:val="auto"/>
              </w:rPr>
              <w:t>II-11</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HUB Cyber Security Ltd. has signed this registration statement on September 13, 2024.</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PUGLISI &amp; ASSOCIATES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097280" cy="8312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0">
                      <a:extLst>
                        <a:ext uri="{28A0092B-C50C-407E-A947-70E740481C1C}"/>
                      </a:extLst>
                    </a:blip>
                    <a:srcRect/>
                    <a:stretch>
                      <a:fillRect/>
                    </a:stretch>
                  </pic:blipFill>
                  <pic:spPr bwMode="auto">
                    <a:xfrm>
                      <a:off x="0" y="0"/>
                      <a:ext cx="109728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September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HUB Cyber Security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Kaplan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6473403, Israel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acted as Israeli counsel to HUB Cyber Security Ltd., a company organized under the laws of the State of Israel (the “Company”), in connection with the registration statement on Form F-1 of the Company (the “Registration Statement”) being filed on or about the date hereof with the Securities and Exchange Commission (the “Commission”) under the Securities Act of 1933, as amended (the “Securities Act”), relating to: (i) the issuance by the Company of up to 1,891,847 ordinary shares, no par value (the “Ordinary Shares”), that may be issued upon the exercise of the Public Warrants, Private Warrants and Prior Warrants (each, as defined in the prospectus that is a part of the Registration Statement (the “Prospectus”), and the Ordinary Shares that may be issued upon the exercise of the Public Warrants, Private Warrants and Prior Warrants, the “Primary Warrant Shares”); and (ii) the resale, from time to time, by the selling securityholders identified in the Prospectus (the “Selling Securityholders”), of up to (A) 49,253,117 Ordinary Shares, including Ordinary Shares that may be issued to the Selling Securityholders upon the exercise of Warrants (as defined in the Prospectus) (the “Resale Warrant Shares” and together with the Primary Warrant Shares, the “Warrant Shares”) or upon the conversion of Convertible Notes (as defined in the Prospectus) (the “Resale Conversion Shares”) and (B) 11,687 Private Warrants to purchase Ordinary Shares.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is being rendered pursuant to Item 8(a) of Form F-1 promulgated under the Securities Act and Items 601(b)(5) and (b)(23) of Regulation S-K promulgated by the Commission, and no opinion is expressed herein as to any matter pertaining to the contents of the Registration Statement or the Prospectus, other than as expressly stated herein.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Company’s Articles of Association, as amended, and such statutes, regulations, corporate records, documents, certificates and such other instruments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corporate records, documents, certificates and instruments we have reviewed; (iv) the due execution and delivery of all documents where due execution and delivery are a prerequisite to the effectiveness thereof; and (v) the legal capacity of all natural persons.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members of the Israel Bar, and we express no opinion as to any matter relating to the laws of any jurisdiction other than the laws of the State of Israel and have not, for the purpose of giving this opinion, made any investigation of the laws of any other jurisdiction than the State of Israel. The opinions set forth herein are made as of the date hereof. We assume no obligation to revise or supplement any of these opinions to reflect any changes of law or fact that may occur after the date hereof. This opinion is expressly limited to the matters set forth above, and we render no opinion, whether by implication or otherwise, as to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265430</wp:posOffset>
            </wp:positionV>
            <wp:extent cx="5717540" cy="557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2">
                      <a:extLst>
                        <a:ext uri="{28A0092B-C50C-407E-A947-70E740481C1C}"/>
                      </a:extLst>
                    </a:blip>
                    <a:srcRect/>
                    <a:stretch>
                      <a:fillRect/>
                    </a:stretch>
                  </pic:blipFill>
                  <pic:spPr bwMode="auto">
                    <a:xfrm>
                      <a:off x="0" y="0"/>
                      <a:ext cx="5717540" cy="55753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97280" cy="8312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(i) the Ordinary Shares (other than the Warrant Shares and the Resale Conversion Shares) being registered under the Registration Statement have been duly authorized, validly issued, fully paid and non-assessable, (ii) the Warrant Shares being registered under the Registration Statement have been duly authorized and, when issued and sold by the Company and delivered by the Company against receipt of the exercise price therefor in accordance with the terms of the Warrants, will be validly issued, fully paid and non-assessable and (iii) the Resale Conversion Shares being registered under the Registration Statement have been duly authorized and, when issued by the Company and delivered by the Company upon conversion of the Convertible Notes in accordance with their terms, will be validly issued, fully paid and non-assessable.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references to our firm in the section entitled “Legal Matters” in the Registration Statement and in the Prospectus. This consent is not to be construed as an admission that we are a party whose consent is required to be filed as part of the Registration Statement under the provisions of the Securities Act.</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Goldfarb Gross Seligman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Goldfarb Gross Seligman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2031365" cy="3257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6">
                      <a:extLst>
                        <a:ext uri="{28A0092B-C50C-407E-A947-70E740481C1C}"/>
                      </a:extLst>
                    </a:blip>
                    <a:srcRect/>
                    <a:stretch>
                      <a:fillRect/>
                    </a:stretch>
                  </pic:blipFill>
                  <pic:spPr bwMode="auto">
                    <a:xfrm>
                      <a:off x="0" y="0"/>
                      <a:ext cx="20313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HUB Cyber Security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Kaplan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 6473403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F-1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opinion is furnished to you in connection with a Registration Statement on Form F-1 (the “Registration Statement”) filed by HUB Cyber Security Ltd., an Israeli company (the “Company”), with the Securities and Exchange Commission (the “Commission”) under the Securities Act of 1933, as amended (the “Securities Act”), relating to (i) the registration under the Registration Statement of 1,891,847 ordinary shares (the “Primary Shares”), no par value per share, of the Company (the “Ordinary Shares”) upon the exercise of warrants to purchase Ordinary Shares and (ii) the registration for resale under the Registration Statement of (A) 49,523,117 Ordinary Shares (the “Secondary Shares” and together with the Primary Shares, the “Shares”) and (B) 11,687 warrants to purchase Ordinary Shares (the “Warrants” and together with the Primary Shares and the Secondary Shares, the “Securities”), in each case by the selling securityholders named in the Registration Statement.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acting as U.S. securities counsel for the Company in connection with the Registration Statement. In connection with this opinion, we have examined the Registration Statement, the Business Combination Agreement, dated March 23, 2022 by and among the Company, Mount Rainier Acquisition Corp. (“RNER”), a Delaware corporation and Rover Merger Sub Inc., a Delaware corporation and wholly owned subsidiary of the Company and any amendments thereto (the “Business Combination Agreement”) in the form of Exhibit 10.46 to the Registration Statement,, the Amended and Restated Warrant Agreement, dated February 28, 2023 by and between the Company, RNER and American Stock Transfer &amp; Trust Company, LLC in the form of Exhibit 10.6 to the Registration Statement (the “Warrant Agent Agreement”), a specimen Warrant certificate in the form of Exhibit 4.2 to the Registration Statement and have also examined and relied upon minutes of meetings of the Board of Directors of the Company as provided to us by the Company, the articles of association of the Company, as restated and/or amended to date, and such other documents as we have deemed necessary for purposes of rendering the opinion hereinafter set forth.</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legal capacity of all natural persons,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 Other than our examination of the documents indicated above, we have made no other examination in connection with this opinion. Because the Warrant Agent Agreement contains provisions stating that they are to be governed by the laws of the State of New York, we are rendering this opinion as to New York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assumed further that the Business Combination Agreement and the Warrant Agent Agreement have been duly authorized, executed and delivered by the parties thereto. We have assumed further that the Company has duly authorized the Shares and the Warrants. We have assumed further that the Company is a company duly organized, validly existing and in good standing under the laws of the jurisdiction in which it is organized and has all requisite power, authority and legal right to issue the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admitted to practice in the State of New York, and we express no opinion as to any matters governed by any law other than the law of the State of New York. You are separately reviewing an opinion from Goldfarb Gross Seligman &amp; Co. with respect to the corporate proceedings and due authorization relating to the issuance of the Securities under Israeli law. For purposes of our opinion, we have assumed that the Securities have been duly authorized and that the Securities have been duly and validly issued, fully paid and non-assessable.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assumptions and qualifications set forth herein, we are of the opinion that, when the Registration Statement has become effective under the Securities Act, the Warrants, insofar as they are governed by the law of the State of New York, constitute valid and binding obligations of the Company enforceable against the Company in accordance with their terms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Greenberg Traurig, P.A. | Attorneys at Law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Azrieli Center, Round Tower | 132 Menachem Begin Road, 30th Floor | Tel Aviv, Israel 6701101 | T +1 +972 (0) 3 636 6000 | F +1 +972 (0) 3 636 6010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i w:val="1"/>
          <w:iCs w:val="1"/>
          <w:color w:val="auto"/>
        </w:rPr>
        <w:t>www.gtlaw.comTLV1 626316626v1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opinion set forth herein is rendered as of the date hereof, and we assume no obligation to update such opinion to reflect any facts or circumstances which may hereafter come to our attention or any changes in the law which may hereafter occur (which may have retroactive effect). In addition, the foregoing opinions are qualified to the extent that (a) enforceability may be limited by and be subject to general principles of equity, regardless of whether such enforceability is considered in a proceeding in equity or at law (including, without limitation, concepts of notice and materiality), and by bankruptcy, insolvency, reorganization, moratorium and other similar laws affecting creditors’ and debtors’ rights generally (including, without limitation, any state or federal law in respect of fraudulent transfers); and (b) no opinion is expressed herein as to compliance with or the effect of federal or state securities or blue sky laws.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is rendered to you in connection with the Registration Statement. This opinion may not be relied upon for any other purpose, or furnished to, quoted or relied upon by any other person, firm or corporation for any purpose, without our prior written consent, except that (A) this opinion may be furnished or quoted to judicial or regulatory authorities having jurisdiction over you, and (B) this opinion may be relied upon by holders of the Warrants currently entitled to rely on it pursuant to applicable provisions of federal securities law.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5.2 to the Registration Statement and to the reference to this firm under the caption “Legal Matters” in the Registration Statement and in any Registration Statement pursuant to Rule 462(b) under the Securities Act. In giving such consent, we do not admit that we are in the category of persons whose consent is required under Section 7 of the Securities Act or the rules and regulations of the Commission. This opinion letter is limited to the matters expressly set forth herein and no opinion is implied or may be inferred beyond the matters expressly so stated. This opinion letter is given as of the date hereof and we do not undertake any liability or responsibility to inform you of any change in circumstances occurring, or additional information becoming available to us, after the date hereof which might alter the opinions contained herein.</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Greenberg Traurig,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Greenberg Traurig, P.A.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Greenberg Traurig, P.A. | Attorneys at Law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Azrieli Center, Round Tower | 132 Menachem Begin Road, 30th Floor | Tel Aviv, Israel 6701101 | T +1 +972 (0) 3 636 6000 | F +1 +972 (0) 3 636 6010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www.gtlaw.comTLV1 626316626v1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10120"/>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WARRANT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AMENDED AND RESTATED WARRANT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February 28, 2023 by and between Hub Cyber Security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Mount Rainier Acquisition Corp., a Delaware corporation, with offices at 256 W. 38th Street, 15th Floor, New York, NY 10018 (“</w:t>
      </w:r>
      <w:r>
        <w:rPr>
          <w:rFonts w:ascii="Times New Roman" w:cs="Times New Roman" w:eastAsia="Times New Roman" w:hAnsi="Times New Roman"/>
          <w:sz w:val="18"/>
          <w:szCs w:val="18"/>
          <w:u w:val="single" w:color="auto"/>
          <w:color w:val="auto"/>
        </w:rPr>
        <w:t>RNER</w:t>
      </w:r>
      <w:r>
        <w:rPr>
          <w:rFonts w:ascii="Times New Roman" w:cs="Times New Roman" w:eastAsia="Times New Roman" w:hAnsi="Times New Roman"/>
          <w:sz w:val="18"/>
          <w:szCs w:val="18"/>
          <w:color w:val="auto"/>
        </w:rPr>
        <w:t>”), and American Stock Transfer &amp; Trust Company, LLC, a New York limited purpose trust company, with offices at 6201 15th Avenue, Brooklyn, NY 11219, as warrant agent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RNER and the Warrant Agent are parties to that certain Warrant Agreement, dated as of October 4, 2021 (the “</w:t>
      </w:r>
      <w:r>
        <w:rPr>
          <w:rFonts w:ascii="Times New Roman" w:cs="Times New Roman" w:eastAsia="Times New Roman" w:hAnsi="Times New Roman"/>
          <w:sz w:val="18"/>
          <w:szCs w:val="18"/>
          <w:u w:val="single" w:color="auto"/>
          <w:color w:val="auto"/>
        </w:rPr>
        <w:t>Existing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Section 9.8 of the Existing Warrant Agreement, RNER and the Warrant Agent agree to amend and restate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Warrant Agreement in its entirety as contemplated hereunder;</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RNER issued 17,846,200 warrants as part of its initial public offering, including (i) 17,250,000 warrants sold by RNER to the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Public Warrants</w:t>
      </w:r>
      <w:r>
        <w:rPr>
          <w:rFonts w:ascii="Times New Roman" w:cs="Times New Roman" w:eastAsia="Times New Roman" w:hAnsi="Times New Roman"/>
          <w:sz w:val="18"/>
          <w:szCs w:val="18"/>
          <w:color w:val="auto"/>
        </w:rPr>
        <w:t>”) and (ii) 596,200 warrants (the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and, together with the Public Warrants, the “</w:t>
      </w:r>
      <w:r>
        <w:rPr>
          <w:rFonts w:ascii="Times New Roman" w:cs="Times New Roman" w:eastAsia="Times New Roman" w:hAnsi="Times New Roman"/>
          <w:sz w:val="18"/>
          <w:szCs w:val="18"/>
          <w:u w:val="single" w:color="auto"/>
          <w:color w:val="auto"/>
        </w:rPr>
        <w:t>RNER Warrants</w:t>
      </w:r>
      <w:r>
        <w:rPr>
          <w:rFonts w:ascii="Times New Roman" w:cs="Times New Roman" w:eastAsia="Times New Roman" w:hAnsi="Times New Roman"/>
          <w:sz w:val="18"/>
          <w:szCs w:val="18"/>
          <w:color w:val="auto"/>
        </w:rPr>
        <w:t>”) sold by RNER to DC Rainier SPV, LLC, a Delaware limited liability company, and certain executive officers of RNER, in each case, on the terms and conditions set forth in the Existing Warrant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March 22, 2022, the Company, Rover Merger Sub Inc., a Delaware corporation and a direct, wholly-owned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RNER entered into that certain Business Combination Agreement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terms and subject to the conditions of the Business Combination Agreement, Merger Sub will merge with and into RNER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RNER surviving the Merger as a direct, wholly owned subsidiary 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RNER has determined that the consummation of the transactions contemplated by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Agreement will constitute a reorganization as referred to in Section 4.5 of the Existing Warrant Agreement;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consummation of the Merger, in accordance with Section 4.5 of the Existing Warrant Agreement (i) the Public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Private Placement Warrants issued thereunder will no longer be exercisable for shares of common stock, par value $0.0001 per share, of RNER (the “</w:t>
      </w:r>
      <w:r>
        <w:rPr>
          <w:rFonts w:ascii="Times New Roman" w:cs="Times New Roman" w:eastAsia="Times New Roman" w:hAnsi="Times New Roman"/>
          <w:sz w:val="18"/>
          <w:szCs w:val="18"/>
          <w:u w:val="single" w:color="auto"/>
          <w:color w:val="auto"/>
        </w:rPr>
        <w:t>RNER Common Shares</w:t>
      </w:r>
      <w:r>
        <w:rPr>
          <w:rFonts w:ascii="Times New Roman" w:cs="Times New Roman" w:eastAsia="Times New Roman" w:hAnsi="Times New Roman"/>
          <w:sz w:val="18"/>
          <w:szCs w:val="18"/>
          <w:color w:val="auto"/>
        </w:rPr>
        <w:t>”) but instead will be exercisable (subject to the terms and conditions of this Agreement) for ordinary shares, no par value per share, of the Company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subject to adjustment as described herein (such warrants as so adjusted and amended,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(ii) the Warrants shall be assumed by the Company;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the Warrant Agent to act on behalf of the Company, and the Warrant Agent is willing to so act,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issuance, registration, transfer, exchange, redemption and exercise of the Warrants;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provide for the form, terms and provisions of the Warrants, the terms upon which they shall be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and the respective rights, limitation of rights, and immunities of the Company, the Warrant Agent, and the holders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acts and things have been done and performed that are necessary to make the Warrants, when executed on behalf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countersigned by or on behalf of the Warrant Agent, as provided herein, the valid, binding and legal obligations of the Company, and to authorize the execution and delivery of this Agreement.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herein contained, the parties hereto agree to amend and restate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Agreement in its entirety as follows:</w:t>
      </w:r>
    </w:p>
    <w:p>
      <w:pPr>
        <w:spacing w:after="0" w:line="159" w:lineRule="exact"/>
        <w:rPr>
          <w:sz w:val="20"/>
          <w:szCs w:val="20"/>
          <w:color w:val="auto"/>
        </w:rPr>
      </w:pPr>
    </w:p>
    <w:p>
      <w:pPr>
        <w:jc w:val="both"/>
        <w:ind w:firstLine="656"/>
        <w:spacing w:after="0" w:line="261" w:lineRule="auto"/>
        <w:tabs>
          <w:tab w:leader="none" w:pos="8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RNER hereby assigns to the Company all of RNER’s rights, title and interests in and to the Existing Warrant Agreement and the RNER Warrants (each as amended hereby) as of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Company hereby assumes, and agrees to pay, perform, satisfy and discharge in full, as the same become due, all of RNER’s liabilities and obligations under the Existing Warrant Agreement and the RNER Warrants (each as amended hereby) arising from and after the Effective Time.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The Warrant Agent hereby consents to the assignment of the Existing Warrant Agreement and the Warrants by RNER to the Company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effective as of the Effective Time, the assumption of the RNER Warrants by the Company from RNER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effective as of the Effective Time, and the continuation of the Warrants in full force and effect from and after the Effective Time, subject at all times to this Agreement (each as amended hereby) and to all of the provisions, covenants, agreements, terms and conditions of this Agreement.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Each Warrant shall be issued in registered form only, shall be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provisions of which are incorporated herein, and shall be signed by, or bear the electronic signature of, the chairman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Chief Executive Officer or Chief Financial Officer of the Company and shall bear the Company’s seal, if any. In the event the person whose electronic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Except with respect to uncertificated Warrants as described above, unless and until countersigned by the Warrant Agent pursuant to this Agreement, a Warrant shall be invalid and of no effect and may not be exercised by the holder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 Agent shall maintain books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All of the Public Warrants shall initially be represented by one or more book entry certificates (each, a “</w:t>
      </w:r>
      <w:r>
        <w:rPr>
          <w:rFonts w:ascii="Times New Roman" w:cs="Times New Roman" w:eastAsia="Times New Roman" w:hAnsi="Times New Roman"/>
          <w:sz w:val="18"/>
          <w:szCs w:val="18"/>
          <w:u w:val="single" w:color="auto"/>
          <w:color w:val="auto"/>
        </w:rPr>
        <w:t>Book-Entry Warrant Certificate</w:t>
      </w:r>
      <w:r>
        <w:rPr>
          <w:rFonts w:ascii="Times New Roman" w:cs="Times New Roman" w:eastAsia="Times New Roman" w:hAnsi="Times New Roman"/>
          <w:sz w:val="18"/>
          <w:szCs w:val="18"/>
          <w:color w:val="auto"/>
        </w:rPr>
        <w:t>”) deposited with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other book-entry depositary system, in each case as determined by the Board or by an authorized committee thereof. Ownership of beneficial interests in the Public Warrants shall be shown on, and the transfer of such ownership shall be effected through, records maintained by (i) the Depositary or its nominee for each Book-Entry Warrant Certificate, or (ii) institutions that have accounts with the Depositary (each such institution, with respect to a Warrant in its account,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Warrant Certificate, and the Company shall instruct the Warrant Agent to deliver to the Depositary definitive certificates in physical form evidencing such Warrants which shall be in the form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with appropriate insertions, modifications and omissions, as provided above.</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Warrant, the Company and the Warrant Agent may deem and treat the person or entity in whose name such Warrant is then registered in the Warrant Register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Private Placement Warrant Attributes</w:t>
      </w:r>
      <w:r>
        <w:rPr>
          <w:rFonts w:ascii="Times New Roman" w:cs="Times New Roman" w:eastAsia="Times New Roman" w:hAnsi="Times New Roman"/>
          <w:sz w:val="18"/>
          <w:szCs w:val="18"/>
          <w:color w:val="auto"/>
        </w:rPr>
        <w:t>. The Private Placement Warrants will be identical to the Public Warrants.</w:t>
      </w:r>
    </w:p>
    <w:p>
      <w:pPr>
        <w:spacing w:after="0" w:line="225" w:lineRule="exact"/>
        <w:rPr>
          <w:sz w:val="20"/>
          <w:szCs w:val="20"/>
          <w:color w:val="auto"/>
        </w:rPr>
      </w:pPr>
    </w:p>
    <w:p>
      <w:pPr>
        <w:ind w:left="840" w:hanging="184"/>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xml:space="preserve">. Each Warrant shall, when countersigned by the Warrant Agent (except with respect to uncertificated Warrants), entitle the registered holder thereof, subject to the provisions of such Warrant and of this Agreement, to purchase from the Company the number of Ordinary Shares stated therein, at the price of $11.50 per share, subject to the adjustments provided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in the last sentence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as used in this Agreement refers to the price per share at which the Ordinary Shares may be purchased at the time a Warrant is exercised. The Company in its sole discretion may lower the Warrant Price at any time prior to the Expiration Date (as defined below) for a period of not less than twenty (20) days, consisting only of days, other than a Saturday, Sunday or federal holiday, on which banks in New York City are generally open for normal business (each, a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provide at least twenty (20) days’ prior written notice of such reduction to registered holders of the Warrants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reduction shall be applied consistently to all of the Warrants.</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xml:space="preserve">. A Warrant may be exercised only during the period commencing 30 days after the date hereof and terminating at 5:00 p.m., New York City time on the earlier to occur of (i) the date that is five (5) years after the date hereof and (ii) at 5:00 p.m., New York City time on the Redemption Date as provided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of this Agreement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period of time from the date the Warrants will first become exercisable until the expiration of the Warrants shall hereafter be referred to as 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xml:space="preserve">” Except with respect to the right to receive the Redemption Price (as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hereunder), each outstanding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will provide at least twenty (20) days’ prior written notice of any such extension to registered holders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extension shall be applied consistently to all of the Warrants.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130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Book-Entry Warrant Certificate, the Warrants to be exercised on the records of the Depositary to an account of the Warrant Agent at the Depositary designated for such purposes in writing by the Warrant Agent to the Depositary from time to time, (ii) a form of election to purchase properly completed and executed by the registered holder on the reverse of the Definitive Warrant Certificate or, in the case of a Book-Entry Warrant Certificate, properly delivered by the Participant in accordance with the Depositary’s procedures, and (iii) payment in full of the Warrant Price for each Ordinary Share as to which the Warrant is exercised and any and all applicable taxes due in connection with the exercise of the Warrant, as follows:</w:t>
      </w:r>
    </w:p>
    <w:p>
      <w:pPr>
        <w:spacing w:after="0" w:line="18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 in lawful money of the United States, by good certified check or good bank draft payable to the order of the Warrant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or wire transfer; or</w:t>
      </w:r>
    </w:p>
    <w:p>
      <w:pPr>
        <w:spacing w:after="0" w:line="207" w:lineRule="exact"/>
        <w:rPr>
          <w:sz w:val="20"/>
          <w:szCs w:val="20"/>
          <w:color w:val="auto"/>
        </w:rPr>
      </w:pPr>
    </w:p>
    <w:p>
      <w:pPr>
        <w:jc w:val="both"/>
        <w:ind w:firstLine="2276"/>
        <w:spacing w:after="0" w:line="256" w:lineRule="auto"/>
        <w:tabs>
          <w:tab w:leader="none" w:pos="25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redemption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8.1 hereof in which the Company’s management has elected to force all holders of Warrants to exercise such Warrants on a “cashless basis,” by surrendering the Warrants for that number of Ordinary Shares equal to the quotient obtained by dividing (x) the product of the number of Ordinary Shares underlying the Warrants, multiplied by the difference between the Warrant Price and the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(defined below) by (y) the Fair Market Value. Solely for purposes of this </w:t>
      </w:r>
      <w:r>
        <w:rPr>
          <w:rFonts w:ascii="Times New Roman" w:cs="Times New Roman" w:eastAsia="Times New Roman" w:hAnsi="Times New Roman"/>
          <w:sz w:val="18"/>
          <w:szCs w:val="18"/>
          <w:u w:val="single" w:color="auto"/>
          <w:color w:val="auto"/>
        </w:rPr>
        <w:t>Section 5.3.1(b)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shall mean the average reported closing price of the Ordinary Shares for the ten (10) trading days ending on the third trading day prior to the date on which the notice of redemption is sent to holders of the Warrants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or</w:t>
      </w:r>
    </w:p>
    <w:p>
      <w:pPr>
        <w:spacing w:after="0" w:line="187" w:lineRule="exact"/>
        <w:rPr>
          <w:rFonts w:ascii="Times New Roman" w:cs="Times New Roman" w:eastAsia="Times New Roman" w:hAnsi="Times New Roman"/>
          <w:sz w:val="18"/>
          <w:szCs w:val="18"/>
          <w:color w:val="auto"/>
        </w:rPr>
      </w:pPr>
    </w:p>
    <w:p>
      <w:pPr>
        <w:jc w:val="both"/>
        <w:ind w:firstLine="2276"/>
        <w:spacing w:after="0" w:line="256" w:lineRule="auto"/>
        <w:tabs>
          <w:tab w:leader="none" w:pos="25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 effective registration statement required by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hereof is not maintained, by surrendering such Warrants for that number of Ordinary Shares equal to the quotient obtained by dividing (x) the product of the number of Ordinary Shares underlying the Warrants, multiplied by the difference between the exercise price of the Warrants and the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by (y) the Fair Market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cashless exercise shall be permitted unless the Fair Market Value is equal to or higher than the exercise price. Solely for purposes of this </w:t>
      </w:r>
      <w:r>
        <w:rPr>
          <w:rFonts w:ascii="Times New Roman" w:cs="Times New Roman" w:eastAsia="Times New Roman" w:hAnsi="Times New Roman"/>
          <w:sz w:val="18"/>
          <w:szCs w:val="18"/>
          <w:u w:val="single" w:color="auto"/>
          <w:color w:val="auto"/>
        </w:rPr>
        <w:t>Section 5.3.1(c)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the average reported last sale price of the Ordinary Shares for the ten (10) trading days ending on the trading day prior to the date of exercise.</w:t>
      </w:r>
    </w:p>
    <w:p>
      <w:pPr>
        <w:spacing w:after="0" w:line="18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Issuance of Ordinary Shares</w:t>
      </w:r>
      <w:r>
        <w:rPr>
          <w:rFonts w:ascii="Times New Roman" w:cs="Times New Roman" w:eastAsia="Times New Roman" w:hAnsi="Times New Roman"/>
          <w:sz w:val="18"/>
          <w:szCs w:val="18"/>
          <w:color w:val="auto"/>
        </w:rPr>
        <w:t>. As soon as practicable after the exercise of any Warrant and the clearance of the funds in payment of the Warrant Price (if any), the Company shall issue to the registered holder of such Warrant a certificate or certificates, or book entry position, as applicable, for the number of Ordinary Shares to which he, she or it is entitled, registered in such name or names as may be directed by him, her or it, and if such Warrant shall not have been exercised in full, a new countersigned Warrant or book entry position, as applicable, for the number of shares as to which such Warrant shall not have been exercised. If fewer than all the Warrants evidenced by a Book-Entry Warrant Certificate are exercised, a notation shall be made to the records maintained by the Depositary, its nominee for each Book-Entry Warrant Certificate, or a Participant, as appropriate, evidencing the balance of the Warrants remaining after such exercise. Notwithstanding the foregoing, in no event will the Company be required to net cash settle the Warrant exercise. No Warrant shall be exercisable for cash and the Company shall not be obligated to issue Ordinary Shares upon exercise of a Warrant unless the Ordinary Shares issuable upon such Warrant exercise has been registered, qualified or deemed to be exempt under the securities laws of the state of residence of the registered holder of the Warrants. Warrants may not be exercised by, or securities issued to, any registered holder in any state in which such exercise or issuance would be unlawful.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5.3.3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Ordinary Shares issued upon the proper exercise of a Warrant in conformity with this Agreement shall be validly issued, fully paid and nonassessable.</w:t>
      </w:r>
    </w:p>
    <w:p>
      <w:pPr>
        <w:spacing w:after="0" w:line="16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5.3.4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in whose name any book entry position or certificate for Ordinary Shares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87"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5.3.5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xml:space="preserve">. A holder of a Warrant may notify the Company in writing in the event it elects to be subject to the provisions contained in this </w:t>
      </w:r>
      <w:r>
        <w:rPr>
          <w:rFonts w:ascii="Times New Roman" w:cs="Times New Roman" w:eastAsia="Times New Roman" w:hAnsi="Times New Roman"/>
          <w:sz w:val="18"/>
          <w:szCs w:val="18"/>
          <w:u w:val="single" w:color="auto"/>
          <w:color w:val="auto"/>
        </w:rPr>
        <w:t>Section 5.3.5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 holder of a Warrant shall be subject to this </w:t>
      </w:r>
      <w:r>
        <w:rPr>
          <w:rFonts w:ascii="Times New Roman" w:cs="Times New Roman" w:eastAsia="Times New Roman" w:hAnsi="Times New Roman"/>
          <w:sz w:val="18"/>
          <w:szCs w:val="18"/>
          <w:u w:val="single" w:color="auto"/>
          <w:color w:val="auto"/>
        </w:rPr>
        <w:t>Section 5.3.5</w:t>
      </w:r>
      <w:r>
        <w:rPr>
          <w:rFonts w:ascii="Times New Roman" w:cs="Times New Roman" w:eastAsia="Times New Roman" w:hAnsi="Times New Roman"/>
          <w:sz w:val="18"/>
          <w:szCs w:val="18"/>
          <w:color w:val="auto"/>
        </w:rPr>
        <w:t xml:space="preserve"> unless he, she or it makes such election. If the election is made by a holder, the Warrant Agent shall not cause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Ordinary Shares outstanding immediately after giving effect to such exercise. For purposes of the foregoing sentence, the aggregate number of Ordinary Shares beneficially owned by such person and its affiliates shall include the number of Ordinary Shares issuable upon exercise of the Warrant with respect to which the determination of such sentence is being made, but shall exclude Ordinary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For purposes of the Warrant, in determining the number of outstanding Ordinary Shares, the holder may rely on the number of outstanding Ordinary Shares as reflected in (1) the Company’s most recent Annual Report on Form 20-F, Current Report on Form 6-K or other public filings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xml:space="preserve">”) as the case may be, (2) a more recent public announcement by the Company or (3) any other notice by the Company or the Warrant Agent setting forth the number of Ordinary Shares outstanding. For any reason at any time, upon the written request of the holder of the Warrant, the Company shall, within two (2) Business Days, confirm orally and in writing to such holder the number of Ordinary Shares then outstanding. In any case, the number of outstanding Ordinary Shares shall be determined after giving effect to the conversion or exercise of equity securities of the Company by the holder and its affiliates since the date as of which such number of outstanding Ordinary Shares was reported. By written notice to the Company, the holder of a Warrant may from time to time increase or decrease the Maximum Percentage applicable to such holder to any other percentage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increase shall not be effective until the sixty-first (61st) day after such notice is delivered to the Company.</w:t>
      </w:r>
    </w:p>
    <w:p>
      <w:pPr>
        <w:spacing w:after="0" w:line="206" w:lineRule="exact"/>
        <w:rPr>
          <w:sz w:val="20"/>
          <w:szCs w:val="20"/>
          <w:color w:val="auto"/>
        </w:rPr>
      </w:pPr>
    </w:p>
    <w:p>
      <w:pPr>
        <w:ind w:left="840" w:hanging="184"/>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Share Capitalizations</w:t>
      </w:r>
      <w:r>
        <w:rPr>
          <w:rFonts w:ascii="Times New Roman" w:cs="Times New Roman" w:eastAsia="Times New Roman" w:hAnsi="Times New Roman"/>
          <w:sz w:val="18"/>
          <w:szCs w:val="18"/>
          <w:color w:val="auto"/>
        </w:rPr>
        <w:t xml:space="preserve">. If after the date hereof, and subject to the provisions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below, the number of outstanding Ordinary Shares is increased by share capitalization payable in Ordinary Shares, or by a sub-division of Ordinary Shares or other similar event, then, on the effective date of such share capitalization, sub-division or similar event, the number of Ordinary Shares issuable on exercise of each Warrant shall be increased in proportion to such increase in outstanding Ordinary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If after the date hereof, the number of outstanding Ordinary Shares is decreased by a consolidation, combination, reverse stock split or reclassification of Ordinary Shares or other similar event, then, on the effective date of such consolidation, combination, reverse stock split, reclassification or similar event, the number of Ordinary Shares issuable on exercise of each Warrant shall be decreased in proportion to such decrease in outstanding Ordinary Shares.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xml:space="preserve">. If the Company, at any time while the Warrants (or rights to purchase the Warrants) are outstanding and unexpired, shall pay a dividend or make a distribution in cash, securities or other assets to the holders of the Ordinary Shares on account of such Ordinary Shares (or other shares of the Company’s capital stock into which the Warrants are convertible), other than (a) as described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above, or (b) Ordinary Cash Dividends (as defined below) (any such non-excluded event being referred to herein as an “</w:t>
      </w:r>
      <w:r>
        <w:rPr>
          <w:rFonts w:ascii="Times New Roman" w:cs="Times New Roman" w:eastAsia="Times New Roman" w:hAnsi="Times New Roman"/>
          <w:sz w:val="18"/>
          <w:szCs w:val="18"/>
          <w:u w:val="single" w:color="auto"/>
          <w:color w:val="auto"/>
        </w:rPr>
        <w:t>Extraordinary Dividend</w:t>
      </w:r>
      <w:r>
        <w:rPr>
          <w:rFonts w:ascii="Times New Roman" w:cs="Times New Roman" w:eastAsia="Times New Roman" w:hAnsi="Times New Roman"/>
          <w:sz w:val="18"/>
          <w:szCs w:val="18"/>
          <w:color w:val="auto"/>
        </w:rPr>
        <w:t xml:space="preserve">”), then the Warrant Price shall be decreased, effective immediately after the effective date of such Extraordinary Dividend, by the amount of cash and the fair market value (as determined by the Board, in good faith) of any securities or other assets paid on each Ordinary Share in respect of such Extraordinary Dividend. For purposes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Ordinary Cash Dividends</w:t>
      </w:r>
      <w:r>
        <w:rPr>
          <w:rFonts w:ascii="Times New Roman" w:cs="Times New Roman" w:eastAsia="Times New Roman" w:hAnsi="Times New Roman"/>
          <w:sz w:val="18"/>
          <w:szCs w:val="18"/>
          <w:color w:val="auto"/>
        </w:rPr>
        <w:t xml:space="preserve">” means any cash dividend or cash distribution which, when combined on a per share basis with the per share amounts of all other cash dividends and cash distributions paid on the Ordinary Shares during the 365-day period ending on the date of declaration of such dividend or distribution (as adjusted to appropriately reflect any of the events referred to in other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and excluding cash dividends or cash distributions that resulted in an adjustment to the Warrant Price or to the number of Ordinary Shares issuable on exercise of each Warrant) does not exceed $0.50.</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Adjustments in Exercise Price</w:t>
      </w:r>
      <w:r>
        <w:rPr>
          <w:rFonts w:ascii="Times New Roman" w:cs="Times New Roman" w:eastAsia="Times New Roman" w:hAnsi="Times New Roman"/>
          <w:sz w:val="18"/>
          <w:szCs w:val="18"/>
          <w:color w:val="auto"/>
        </w:rPr>
        <w:t xml:space="preserve">. Whenever the number of Ordinary Shares purchasable upon the exercise of the Warrants is adjusted, as provided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above, the Warrant Price shall be adjusted (to the nearest cent) by multiplying such Warrant Price immediately prior to such adjustment by a fraction (x) the numerator of which shall be the number of Ordinary Shares purchasable upon the exercise of the Warrants immediately prior to such adjustment, and (y) the denominator of which shall be the number of Ordinary Shares so purchasable immediately thereafter.</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Replacement of Securities upon Reorganization, etc.</w:t>
      </w:r>
      <w:r>
        <w:rPr>
          <w:rFonts w:ascii="Times New Roman" w:cs="Times New Roman" w:eastAsia="Times New Roman" w:hAnsi="Times New Roman"/>
          <w:sz w:val="18"/>
          <w:szCs w:val="18"/>
          <w:color w:val="auto"/>
        </w:rPr>
        <w:t xml:space="preserve"> In case of any reclassification or reorganization of the outstanding Ordinary Shares (other than a change covered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hereof or that solely affects the par value of the Ordinary Shares), or in the case of any merger or consolidation of the Company with or into another corporation (other than a consolidation or merger in which the Company is the continuing corporation and that does not result in any reclassification or reorganization of the outstanding Ordinary Shares),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Ordinary Shares covered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6.1, 6.2 or 6.3, then such adjustment shall be made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 Notwithstanding anything to the contrary herein, in the event of any tender offer for Ordinary Shares, the offeror shall not make any tender offer for Warrants if the effect of such offer would be to require the Warrants to be accounted for as liabilities under applicable accounting principles.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 Fractional Warrants or Ordinary Shares</w:t>
      </w:r>
      <w:r>
        <w:rPr>
          <w:rFonts w:ascii="Times New Roman" w:cs="Times New Roman" w:eastAsia="Times New Roman" w:hAnsi="Times New Roman"/>
          <w:sz w:val="18"/>
          <w:szCs w:val="18"/>
          <w:color w:val="auto"/>
        </w:rPr>
        <w:t xml:space="preserve">. Notwithstanding any provision contained in this Agreement to the contrary, the Company shall not issue fractional shares upon exercise of Warrants. If, by reason of any adjustment made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the holder of any Warrant would be entitled, upon the exercise of such Warrant, to receive a fractional interest in a share, the Company shall, upon such exercise, round up to the nearest whole number of Ordinary Shares to be issued to the Warrant holder.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The form of Warrant need not be changed because of any adjustment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case any event shall occur affecting the Company as to which none of the provisions of preceding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are strictly applicable, but which would require an adjustment to the terms of the Warrants in order to (a) avoid an adverse impact on the Warrants and (b) effectuate the intent and purpose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 and, if they determine that an adjustment is necessary, the terms of such adjustment. The Company shall adjust the terms of the Warrants in a manner that is consistent with any adjustment recommended in such opinion.</w:t>
      </w:r>
    </w:p>
    <w:p>
      <w:pPr>
        <w:spacing w:after="0" w:line="189" w:lineRule="exact"/>
        <w:rPr>
          <w:sz w:val="20"/>
          <w:szCs w:val="20"/>
          <w:color w:val="auto"/>
        </w:rPr>
      </w:pPr>
    </w:p>
    <w:p>
      <w:pPr>
        <w:ind w:left="840" w:hanging="184"/>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Warrant Agent shall register the transfer, from time to time, of any outstanding Warrant into the Warrant Register, upon surrender of such Warrant for transfer, properly endorsed with signatures, in the case of certificated Warrants,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xml:space="preserve">.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otherwise provided herein or in any Book-Entry Warrant Certificate or Definitive Warrant Certificate, each Book-Entry Warrant Certificate and Definitive Warrant Certificate may be transferred only in whole and only to the Depositary, to another nominee of the Depositary, to a successor depository, or to a nominee of a successor depository;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a Warrant surrendered for transfer bears a restrictive legend and the new Warrants to be issued will not bear a restrictive legend, the Warrant Agent shall not cancel such Warrant and issue new Warrants in exchange therefor until the Warrant Agent has received an opinion of counsel for the Company stating that such transfer may be made and indicating no restrictive legend is required.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Warrant Agent shall not be required to effect any registration of transfer or exchange which will result in the issuance of a Warrant certificate or book-entry position for a fraction of a Warrant.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xml:space="preserve">. The Warrant Agent is hereby authorized to countersign and to deliver, in accordance with the terms of this Agreement, the Warrants required to be issued pursuant to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 and the Company, whenever required by the Warrant Agent, will supply the Warrant Agent with Warrants duly executed on behalf of the Company for such purpose.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xml:space="preserve">. The Warrant Agent shall not register any transfer of Private Placement Warrants until thirty (30) days after the date hereof, except for transfers (i) to the Company’s officers, directors, consultants or their affiliates, (ii) to a holder’s shareholders or members upon the holder’s liquidation, in each case if the holder is an entity, (iii) by bona fide gift to a member of the holder’s immediate family or to a trust, the beneficiary of which is the holder or a member of the holder’s immediate family, in each case for estate planning purposes, (iv) by virtue of the laws of descent and distribution upon death, (v) pursuant to a qualified domestic relations order or (vi) in the event that the Company completes a liquidation, merger, share exchange or other similar transaction which results in all of the Company’s shareholders having the right to exchange their Ordinary Shares for cash, securities or other property, in each case (except for clause (vi) or with the Company’s prior written consent) on the condition that prior to such registration for transfer, the Warrant Agent shall be presented with written documentation pursuant to which each transferee or the trustee or legal guardian for such transferee agrees to be bound by the transfer restrictions contained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and any other applicable agreement the transferor is bound by.</w:t>
      </w:r>
    </w:p>
    <w:p>
      <w:pPr>
        <w:spacing w:after="0" w:line="194" w:lineRule="exact"/>
        <w:rPr>
          <w:sz w:val="20"/>
          <w:szCs w:val="20"/>
          <w:color w:val="auto"/>
        </w:rPr>
      </w:pPr>
    </w:p>
    <w:p>
      <w:pPr>
        <w:ind w:left="840" w:hanging="184"/>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Not less than all of the outstanding Warrants may be redeemed, at the option of the Company, at any time during the Exercise Period, at the office of the Warrant Agent, upon the notice referred to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at the price of $0.01 per Warrant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closing price of the Ordinary Shares equals or exceeds $18.00 per share (subject to adjustment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on each of twenty (20) trading days within any thirty (30) trading day period commencing after the Warrants become exercisable and ending on the third trading day prior to the date on which notice of redemption is given and provided that there is an effective registration statement covering the Ordinary Shares issuable upon exercise of the Warrants, and a current prospectus relating thereto, available throughout the 30-day redemption or the Company has elected to require the exercise of the Warrants on a “cashless basis” pursuant to </w:t>
      </w:r>
      <w:r>
        <w:rPr>
          <w:rFonts w:ascii="Times New Roman" w:cs="Times New Roman" w:eastAsia="Times New Roman" w:hAnsi="Times New Roman"/>
          <w:sz w:val="18"/>
          <w:szCs w:val="18"/>
          <w:u w:val="single" w:color="auto"/>
          <w:color w:val="auto"/>
        </w:rPr>
        <w:t>Section 5.3.1(b)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and when the Warrants become redeemable by the Company, the Company may not exercise such redemption right if the issuance of Ordinary Shares upon exercise of the Warrants is not exempt from registration or qualification under applicable state blue sky laws or the Company is unable to effect such registration or qualification.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Date Fixed for, and Notice of, Redemption</w:t>
      </w:r>
      <w:r>
        <w:rPr>
          <w:rFonts w:ascii="Times New Roman" w:cs="Times New Roman" w:eastAsia="Times New Roman" w:hAnsi="Times New Roman"/>
          <w:sz w:val="18"/>
          <w:szCs w:val="18"/>
          <w:color w:val="auto"/>
        </w:rPr>
        <w:t>. In the event the Company shall elect to redeem all of the Warrants that are subject to redemption, the Company shall fix a date for the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Notice of redemption shall be transmitted (including, if applicable, through the facilities of the Depositary) and/or mailed (by first class mail, postage prepaid), by the Company not less than thirty (30) days prior to the Redemption Date to the registered holders of the Warrants to be redeemed at their last addresses as they shall appear on the registration books. Any notice transmitted or mailed in the manner herein provided shall be conclusively presumed to have been duly given whether or not the registered holder received such notice.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xml:space="preserve">. The Warrants may be exercised, for cash (or on a “cashless basis”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at any time after notice of redemption shall have been given by the Company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hereof and prior to the Redemption Date. In the event the Company determines to require all holders of Warrants to exercise their Warrants on a “cashless basis” pursuant to </w:t>
      </w:r>
      <w:r>
        <w:rPr>
          <w:rFonts w:ascii="Times New Roman" w:cs="Times New Roman" w:eastAsia="Times New Roman" w:hAnsi="Times New Roman"/>
          <w:sz w:val="18"/>
          <w:szCs w:val="18"/>
          <w:u w:val="single" w:color="auto"/>
          <w:color w:val="auto"/>
        </w:rPr>
        <w:t>Section 5.3.1(b)</w:t>
      </w:r>
      <w:r>
        <w:rPr>
          <w:rFonts w:ascii="Times New Roman" w:cs="Times New Roman" w:eastAsia="Times New Roman" w:hAnsi="Times New Roman"/>
          <w:sz w:val="18"/>
          <w:szCs w:val="18"/>
          <w:color w:val="auto"/>
        </w:rPr>
        <w:t>, the notice of redemption will contain the information necessary to calculate the number of Ordinary Shares to be received upon exercise of the Warrants, including the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in such case. On and after the Redemption Date, the record holder of the Warrants shall have no further rights except to receive, upon surrender of the Warrants, the Redemption Price.</w:t>
      </w:r>
    </w:p>
    <w:p>
      <w:pPr>
        <w:spacing w:after="0" w:line="187" w:lineRule="exact"/>
        <w:rPr>
          <w:sz w:val="20"/>
          <w:szCs w:val="20"/>
          <w:color w:val="auto"/>
        </w:rPr>
      </w:pPr>
    </w:p>
    <w:p>
      <w:pPr>
        <w:ind w:left="840" w:hanging="184"/>
        <w:spacing w:after="0"/>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 Rights as Shareholder</w:t>
      </w:r>
      <w:r>
        <w:rPr>
          <w:rFonts w:ascii="Times New Roman" w:cs="Times New Roman" w:eastAsia="Times New Roman" w:hAnsi="Times New Roman"/>
          <w:sz w:val="18"/>
          <w:szCs w:val="18"/>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Reservation of Ordinary Shares</w:t>
      </w:r>
      <w:r>
        <w:rPr>
          <w:rFonts w:ascii="Times New Roman" w:cs="Times New Roman" w:eastAsia="Times New Roman" w:hAnsi="Times New Roman"/>
          <w:sz w:val="18"/>
          <w:szCs w:val="18"/>
          <w:color w:val="auto"/>
        </w:rPr>
        <w:t>. The Company shall at all times reserve and keep available a number of its authorized but unissued Ordinary Shares that will be sufficient to permit the exercise in full of all outstanding Warrants issued pursuant to this Agreement.</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Registration of Ordinary Shares</w:t>
      </w:r>
      <w:r>
        <w:rPr>
          <w:rFonts w:ascii="Times New Roman" w:cs="Times New Roman" w:eastAsia="Times New Roman" w:hAnsi="Times New Roman"/>
          <w:sz w:val="18"/>
          <w:szCs w:val="18"/>
          <w:color w:val="auto"/>
        </w:rPr>
        <w:t xml:space="preserve">. On December 8, 2022, a registration statement on Form F-4 (Commission File. 333-267035) registering the Ordinary Shares issuable upon the exercise of the Warrants was declared effective by the Commission. The Company will use its best efforts to maintain the effectiveness of such registration statement, including any replacement registration statement filed in respect thereof, and a current prospectus relating thereto, until the expiration of the Warrants in accordance with the provisions of this Agreement. During any other period when the Company shall fail to have maintained an effective registration statement covering the Ordinary Shares issuable upon exercise of the Warrants, the registered holders of the Warrants shall have the right to exercise such Warrants on a “cashless basis” as determined in accordance with </w:t>
      </w:r>
      <w:r>
        <w:rPr>
          <w:rFonts w:ascii="Times New Roman" w:cs="Times New Roman" w:eastAsia="Times New Roman" w:hAnsi="Times New Roman"/>
          <w:sz w:val="18"/>
          <w:szCs w:val="18"/>
          <w:u w:val="single" w:color="auto"/>
          <w:color w:val="auto"/>
        </w:rPr>
        <w:t>Section 5.3.1(c)</w:t>
      </w:r>
      <w:r>
        <w:rPr>
          <w:rFonts w:ascii="Times New Roman" w:cs="Times New Roman" w:eastAsia="Times New Roman" w:hAnsi="Times New Roman"/>
          <w:sz w:val="18"/>
          <w:szCs w:val="18"/>
          <w:color w:val="auto"/>
        </w:rPr>
        <w:t xml:space="preserve">. The Company shall provide the Warrant Agent with an opinion of counsel for the Company (which shall be an outside law firm with securities law experience) stating that (i) the exercise of the Warrants on a cashless basis in accordance with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is not required to be registered under the Securities Act of 1933, as amended (the “Securities Act”), and (ii) the Ordinary Shares issued upon such exercise will be freely tradable under U.S. federal securities laws by anyone who is not an affiliate (as such term is defined in Rule 144 under the Securities Act) of the Company and, accordingly, will not be required to bear a restrictive legend. For the avoidance of any doubt, unless and until all of the Warrants have been exercised on a cashless basis, the Company shall continue to be obligated to comply with its registration obligations under the first three sentences of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In addition, the Company agrees to use its best efforts to register the Ordinary Shares issuable upon exercise of the Warrants under state blue sky laws, to the extent an exemption is not available.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920" w:hanging="264"/>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Ordinary Shares upon the exercise of Warrants, but the Company shall not be obligated to pay any transfer taxes in respect of the Warrants or such Ordinary Shares.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Borough of Manhattan, City and State of New York, and authorized under such laws to exercise corporate trust or stock transfer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9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Notice of Successor Warrant Agent</w:t>
      </w:r>
      <w:r>
        <w:rPr>
          <w:rFonts w:ascii="Times New Roman" w:cs="Times New Roman" w:eastAsia="Times New Roman" w:hAnsi="Times New Roman"/>
          <w:sz w:val="18"/>
          <w:szCs w:val="18"/>
          <w:color w:val="auto"/>
        </w:rPr>
        <w:t>. In the event a successor Warrant Agent shall be appointed, the Company shall give notice thereof to the predecessor Warrant Agent and the transfer agent for the Ordinary Shares not later than the effective date of any such appointment.</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10.2.3 </w:t>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 on the part of the Company or the Warrant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130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10.3.1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10.3.2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10.4.1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statement signed by the Chief Executive Officer or Chairman of the Board of Directors of the Company and delivered to the Warrant Agent. The Warrant Agent may rely upon such statement for any action taken, suffered or omitted to be taken in good faith by it pursuant to the provisions of this Agreement.</w:t>
      </w:r>
    </w:p>
    <w:p>
      <w:pPr>
        <w:spacing w:after="0" w:line="187"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10.4.2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Warrant Agent shall be liable hereunder only for its own fraud, gross negligence, willful misconduct or bad faith. The Company agrees to indemnify the Warrant Agent and save it harmless against any and all liabilities, including judgments, costs and reasonable counsel fees, for any action done or omitted by the Warrant Agent in the execution of this Agreement except as a result of the Warrant Agent’s fraud, gross negligence, willful misconduct, or bad faith.</w:t>
      </w:r>
    </w:p>
    <w:p>
      <w:pPr>
        <w:spacing w:after="0" w:line="18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10.4.3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xml:space="preserve">.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Ordinary Shares to be issued pursuant to this Agreement, the Articles of Association of the Company, or any Warrant or as to whether any Ordinary Shares will, when issued, be valid and fully paid and nonassessable.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Ordinary Shares through the exercise of Warrants.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Warrant Agent shall bind and inure to the benefit of their respective successors and assigns.</w:t>
      </w:r>
    </w:p>
    <w:p>
      <w:pPr>
        <w:spacing w:after="0" w:line="162"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Agreement to be given or made by the Warrant Agent or by the holder of any Warrant to or on the Company shall be sufficiently given (i) if by email when the email is sent, (ii) if by hand or overnight delivery, when so delivered, or (iii) if sent by certified mail or private courier service within five (5) days after deposit of such notice, postage prepaid, addressed (until another address is filed in writing by the Company with the Warrant Agent), as follows: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Hub Cyber Security Ltd.,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17, Rothchild St., Tel Aviv, Israel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Hugo Goldman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hugo.goldman@hubsecurity.io</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notice, statement or demand authorized by this Agreement to be given or made by the holder of any Warrant or by the Company to or on the Warrant Agent shall be sufficiently given (i) if by email, when the email is sent, (ii) if by hand or overnight delivery, when so delivered, or (iii) if sent by certified mail or private courier service within five days after deposit of such notice, postage prepaid, addressed (until another address is filed in writing by the Warrant Agent with the Company), as follows: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American Stock Transfer &amp; Trust Company,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Brooklyn, NY 11219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Reorg Department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in each case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Ryan J. Lynch</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Ryan.Lynch@lw.com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right="7840" w:hanging="8"/>
        <w:spacing w:after="0" w:line="265" w:lineRule="auto"/>
        <w:tabs>
          <w:tab w:leader="none" w:pos="218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Bishopsgate London EC2M 3XF United Kingdom</w:t>
      </w:r>
    </w:p>
    <w:p>
      <w:pPr>
        <w:ind w:left="1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Attn: Michael Rosenberg</w:t>
      </w:r>
    </w:p>
    <w:p>
      <w:pPr>
        <w:spacing w:after="0" w:line="9" w:lineRule="exact"/>
        <w:rPr>
          <w:rFonts w:ascii="Times New Roman" w:cs="Times New Roman" w:eastAsia="Times New Roman" w:hAnsi="Times New Roman"/>
          <w:sz w:val="17"/>
          <w:szCs w:val="17"/>
          <w:color w:val="auto"/>
        </w:rPr>
      </w:pPr>
    </w:p>
    <w:p>
      <w:pPr>
        <w:ind w:left="1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Michael.Rosenberg@lw.com</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xml:space="preserve">.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Each of the Company and the Warrant Agent hereby agrees that any action, proceeding or claim against either of them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 The Company and the Warrant Agent hereby waive any objection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process or summons to be served upon the Company or the Warrant Agent may be served by transmitting a copy thereof by registered or certified mail, return receipt requested, postage prepaid, addressed to it at the address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hereof. Such mailing shall be deemed personal service and shall be legal and binding upon the party receiving such service in any action, proceeding or claim.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expressed and nothing that may be implied from any of the provisions hereof is intended, or shall be construed, to confer upon, or give to, any person or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his, her or its Warrant for inspection.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original or electronic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a majority of the then outstanding Warrants. Notwithstanding the foregoing, the Company may lower the Warrant Price or extend the duration of the Exercise Period pursuant to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respectively, without the consent of the registered holders.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Existing Warrant Agreement</w:t>
      </w:r>
      <w:r>
        <w:rPr>
          <w:rFonts w:ascii="Times New Roman" w:cs="Times New Roman" w:eastAsia="Times New Roman" w:hAnsi="Times New Roman"/>
          <w:sz w:val="18"/>
          <w:szCs w:val="18"/>
          <w:color w:val="auto"/>
        </w:rPr>
        <w:t>. The Existing Warrant Agreement is hereby amended and restated in its entirety and its terms prior to such amendment and restatement shall be of no further force or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hereto as of the day and year first above written.</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Hugo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Hugo Goldman</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MOUNT RAINIER ACQUISITION CORP.</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b w:val="1"/>
          <w:bCs w:val="1"/>
          <w:color w:val="auto"/>
        </w:rPr>
        <w:t>AMERICAN STOCK TRANSFER &amp; TRUST</w:t>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COMPANY, LLC</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Warrant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0"/>
          </w:cols>
          <w:pgMar w:left="980" w:top="904" w:right="12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hereto as of the day and year first above written.</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8890</wp:posOffset>
            </wp:positionV>
            <wp:extent cx="24942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Uzi Moskovitch</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MOUNT RAINIER ACQUISITION CORP.</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Matthew Kearney</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Chairma</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b w:val="1"/>
          <w:bCs w:val="1"/>
          <w:color w:val="auto"/>
        </w:rPr>
        <w:t>AMERICAN STOCK TRANSFER &amp; TRUST</w:t>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COMPANY, LLC</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Warrant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0"/>
          </w:cols>
          <w:pgMar w:left="980" w:top="904" w:right="12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hereto as of the day and year first above written.</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8890</wp:posOffset>
            </wp:positionV>
            <wp:extent cx="24942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Uzi Moskovitch</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MOUNT RAINIER ACQUISITION CORP.</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8890</wp:posOffset>
            </wp:positionV>
            <wp:extent cx="24942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AMERICAN STOCK TRANSFER &amp; TRUST</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COMPANY, LLC</w:t>
      </w:r>
    </w:p>
    <w:p>
      <w:pPr>
        <w:spacing w:after="0" w:line="20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Legregin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Michael Legregin</w:t>
      </w:r>
    </w:p>
    <w:p>
      <w:pPr>
        <w:spacing w:after="0" w:line="36" w:lineRule="exact"/>
        <w:rPr>
          <w:sz w:val="20"/>
          <w:szCs w:val="20"/>
          <w:color w:val="auto"/>
        </w:rPr>
      </w:pPr>
    </w:p>
    <w:p>
      <w:pPr>
        <w:jc w:val="right"/>
        <w:spacing w:after="0"/>
        <w:tabs>
          <w:tab w:leader="none" w:pos="3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Corporate Actions Relationship</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Management &amp; Operations</w:t>
      </w: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Warrant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 CERTIFICATE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WARRANT SHALL BE VOID IF NOT EXERCISED PRIOR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EXPIRATION OF THE EXERCISE PERIOD PROVIDED 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WARRANT AGREEMENT DESCRIBED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organized under the laws of the State of Israel</w:t>
      </w:r>
    </w:p>
    <w:p>
      <w:pPr>
        <w:spacing w:after="0" w:line="203" w:lineRule="exact"/>
        <w:rPr>
          <w:sz w:val="20"/>
          <w:szCs w:val="20"/>
          <w:color w:val="auto"/>
        </w:rPr>
      </w:pPr>
    </w:p>
    <w:p>
      <w:pPr>
        <w:ind w:left="10320"/>
        <w:spacing w:after="0"/>
        <w:tabs>
          <w:tab w:leader="none" w:pos="11160" w:val="left"/>
        </w:tabs>
        <w:rPr>
          <w:sz w:val="20"/>
          <w:szCs w:val="20"/>
          <w:color w:val="auto"/>
        </w:rPr>
      </w:pPr>
      <w:r>
        <w:rPr>
          <w:rFonts w:ascii="Times New Roman" w:cs="Times New Roman" w:eastAsia="Times New Roman" w:hAnsi="Times New Roman"/>
          <w:sz w:val="18"/>
          <w:szCs w:val="18"/>
          <w:b w:val="1"/>
          <w:bCs w:val="1"/>
          <w:color w:val="auto"/>
        </w:rPr>
        <w:t>CUSIP [</w:t>
        <w:tab/>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225" w:lineRule="exact"/>
        <w:rPr>
          <w:sz w:val="20"/>
          <w:szCs w:val="20"/>
          <w:color w:val="auto"/>
        </w:rPr>
      </w:pPr>
    </w:p>
    <w:p>
      <w:pPr>
        <w:ind w:left="660"/>
        <w:spacing w:after="0"/>
        <w:tabs>
          <w:tab w:leader="none" w:pos="4100" w:val="left"/>
        </w:tabs>
        <w:rPr>
          <w:sz w:val="20"/>
          <w:szCs w:val="20"/>
          <w:color w:val="auto"/>
        </w:rPr>
      </w:pPr>
      <w:r>
        <w:rPr>
          <w:rFonts w:ascii="Times New Roman" w:cs="Times New Roman" w:eastAsia="Times New Roman" w:hAnsi="Times New Roman"/>
          <w:sz w:val="18"/>
          <w:szCs w:val="18"/>
          <w:b w:val="1"/>
          <w:bCs w:val="1"/>
          <w:i w:val="1"/>
          <w:iCs w:val="1"/>
          <w:color w:val="auto"/>
        </w:rPr>
        <w:t>This Warrant Certificate certifies that</w:t>
      </w:r>
      <w:r>
        <w:rPr>
          <w:sz w:val="20"/>
          <w:szCs w:val="20"/>
          <w:color w:val="auto"/>
        </w:rPr>
        <w:tab/>
      </w:r>
      <w:r>
        <w:rPr>
          <w:rFonts w:ascii="Times New Roman" w:cs="Times New Roman" w:eastAsia="Times New Roman" w:hAnsi="Times New Roman"/>
          <w:sz w:val="17"/>
          <w:szCs w:val="17"/>
          <w:color w:val="auto"/>
        </w:rPr>
        <w:t>, or registered assigns, is the registered holder of warrant(s) evidenced hereby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and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to purchase ordinary shares, no par value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of Hub Cyber Security Ltd., a company organized under the laws of the State of Israel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Each whole Warrant entitles the holder, upon exercise during the period set forth in the Warrant Agreement referred to on the reverse hereof, to receive from the Company that number of fully paid and non-assessable Ordinary Shares as set forth below, at the exercise price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as determined pursuant to the Warrant Agreement, payable in lawful money (or through “cashless exercise”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whole Warrant is initially exercisable for three-fourths of one fully paid and non- 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initial Exercise Price per Ordinary Share for any Warrant is equal to $11.50 per whole share. The Exercise Price is subject to adjustment upon the occurrence of certain events set forth in the Warrant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Warrant Certificate shall be governed by and construed in accordance with the internal laws of the State of New York, without regard to conflicts of laws principles thereof.</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AMERICAN STOCK TRANSFER &amp; TRUST</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 LLC</w:t>
      </w:r>
      <w:r>
        <w:rPr>
          <w:rFonts w:ascii="Times New Roman" w:cs="Times New Roman" w:eastAsia="Times New Roman" w:hAnsi="Times New Roman"/>
          <w:sz w:val="18"/>
          <w:szCs w:val="18"/>
          <w:color w:val="auto"/>
        </w:rPr>
        <w:t>, as Warrant Agent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ind w:right="-339"/>
        <w:spacing w:after="0"/>
        <w:rPr>
          <w:sz w:val="20"/>
          <w:szCs w:val="20"/>
          <w:color w:val="auto"/>
        </w:rPr>
      </w:pPr>
      <w:r>
        <w:rPr>
          <w:rFonts w:ascii="Times New Roman" w:cs="Times New Roman" w:eastAsia="Times New Roman" w:hAnsi="Times New Roman"/>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[Reverse]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Warrants evidenced by this Warrant Certificate are part of a duly authorized issue of Warrants entitling the holder on exercise to receive Ordinary Shares and are issued or to be issued pursuant to that certain Amended and Restated Warrant Agreement dated as of February 28, 2023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duly executed and delivered by the Company to American Stock Transfer &amp; Trust Company, LLC, a New York limited liability trust company,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in this Warrant Certificate or the Warrant Agreement, no Warrant may be exercised unless at the time of exercise (i) a registration statement covering the Ordinary Shares to be issued upon exercise is effective under the Securities Act of 1933, as amended, and (ii) a prospectus thereunder relating to the Ordinary Shares is current, except through “cashless exercise” as provided for in the Warrant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upon the occurrence of certain events the number of Ordinary Shares issuable upon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Neither the Warrants nor this Warrant Certificate entitled any holder thereof to any rights of a shareholder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Election to Purchase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Upon Exercise of Warrant)</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The undersigned hereby irrevocably elects to exercise the right, represented by this Warrant Certificate, to receive  Ordinary Shares and herewith tenders payment for such Ordinary Shares to the order of Hub Cyber Security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amount of $ in accordance with the terms hereof. The undersigned requests that a certificate for such Ordinary Shares be registered in the name of , whose address is and</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that such Ordinary Shares be delivered to whose address is . If said number of Ordinary Shares is less than all of the Ordinary Shares purchasable hereunder, the undersigned requests that a new Warrant Certificate representing the remaining balance of such Ordinary Shares be registered in</w:t>
      </w:r>
    </w:p>
    <w:p>
      <w:pPr>
        <w:spacing w:after="0" w:line="1" w:lineRule="exact"/>
        <w:rPr>
          <w:sz w:val="20"/>
          <w:szCs w:val="20"/>
          <w:color w:val="auto"/>
        </w:rPr>
      </w:pPr>
    </w:p>
    <w:p>
      <w:pPr>
        <w:spacing w:after="0"/>
        <w:tabs>
          <w:tab w:leader="none" w:pos="1460" w:val="left"/>
          <w:tab w:leader="none" w:pos="3580" w:val="left"/>
          <w:tab w:leader="none" w:pos="7820" w:val="left"/>
          <w:tab w:leader="none" w:pos="9800" w:val="left"/>
        </w:tabs>
        <w:rPr>
          <w:sz w:val="20"/>
          <w:szCs w:val="20"/>
          <w:color w:val="auto"/>
        </w:rPr>
      </w:pPr>
      <w:r>
        <w:rPr>
          <w:rFonts w:ascii="Times New Roman" w:cs="Times New Roman" w:eastAsia="Times New Roman" w:hAnsi="Times New Roman"/>
          <w:sz w:val="18"/>
          <w:szCs w:val="18"/>
          <w:color w:val="auto"/>
        </w:rPr>
        <w:t>the name of</w:t>
      </w:r>
      <w:r>
        <w:rPr>
          <w:sz w:val="20"/>
          <w:szCs w:val="20"/>
          <w:color w:val="auto"/>
        </w:rPr>
        <w:tab/>
      </w:r>
      <w:r>
        <w:rPr>
          <w:rFonts w:ascii="Times New Roman" w:cs="Times New Roman" w:eastAsia="Times New Roman" w:hAnsi="Times New Roman"/>
          <w:sz w:val="18"/>
          <w:szCs w:val="18"/>
          <w:color w:val="auto"/>
        </w:rPr>
        <w:t>, whose address is</w:t>
      </w:r>
      <w:r>
        <w:rPr>
          <w:sz w:val="20"/>
          <w:szCs w:val="20"/>
          <w:color w:val="auto"/>
        </w:rPr>
        <w:tab/>
      </w:r>
      <w:r>
        <w:rPr>
          <w:rFonts w:ascii="Times New Roman" w:cs="Times New Roman" w:eastAsia="Times New Roman" w:hAnsi="Times New Roman"/>
          <w:sz w:val="18"/>
          <w:szCs w:val="18"/>
          <w:color w:val="auto"/>
        </w:rPr>
        <w:t>and that such Warrant Certificate be delivered to</w:t>
      </w:r>
      <w:r>
        <w:rPr>
          <w:sz w:val="20"/>
          <w:szCs w:val="20"/>
          <w:color w:val="auto"/>
        </w:rPr>
        <w:tab/>
      </w:r>
      <w:r>
        <w:rPr>
          <w:rFonts w:ascii="Times New Roman" w:cs="Times New Roman" w:eastAsia="Times New Roman" w:hAnsi="Times New Roman"/>
          <w:sz w:val="18"/>
          <w:szCs w:val="18"/>
          <w:color w:val="auto"/>
        </w:rPr>
        <w:t>, whose address is</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the Warrant has been called for redemption by the Company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the Warrant Agreement and the Company has required cashless exercise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of the Warrant Agreement,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Section 5.3.1(b)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of the Warrant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Ordinary Shares is less than all of the Ordinary Shares purchasable hereunder (after giving effect to the cashless exercise), the undersigned requests that a</w:t>
      </w:r>
    </w:p>
    <w:p>
      <w:pPr>
        <w:spacing w:after="0" w:line="3" w:lineRule="exact"/>
        <w:rPr>
          <w:sz w:val="20"/>
          <w:szCs w:val="20"/>
          <w:color w:val="auto"/>
        </w:rPr>
      </w:pPr>
    </w:p>
    <w:p>
      <w:pPr>
        <w:ind w:right="920"/>
        <w:spacing w:after="0" w:line="260" w:lineRule="auto"/>
        <w:rPr>
          <w:sz w:val="20"/>
          <w:szCs w:val="20"/>
          <w:color w:val="auto"/>
        </w:rPr>
      </w:pPr>
      <w:r>
        <w:rPr>
          <w:rFonts w:ascii="Times New Roman" w:cs="Times New Roman" w:eastAsia="Times New Roman" w:hAnsi="Times New Roman"/>
          <w:sz w:val="18"/>
          <w:szCs w:val="18"/>
          <w:color w:val="auto"/>
        </w:rPr>
        <w:t>new Warrant Certificate representing the remaining balance of such Ordinary Shares be registered in the name of , whose address is and that such Warrant Certificate be delivered to , whose address is .</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Date:        ,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7830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462915</wp:posOffset>
            </wp:positionV>
            <wp:extent cx="284607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308610</wp:posOffset>
            </wp:positionV>
            <wp:extent cx="28460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-136525</wp:posOffset>
            </wp:positionV>
            <wp:extent cx="28460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283210</wp:posOffset>
            </wp:positionV>
            <wp:extent cx="28460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 Identification Number)</w:t>
      </w:r>
    </w:p>
    <w:p>
      <w:pPr>
        <w:spacing w:after="0" w:line="643" w:lineRule="exact"/>
        <w:rPr>
          <w:sz w:val="20"/>
          <w:szCs w:val="20"/>
          <w:color w:val="auto"/>
        </w:rPr>
      </w:pPr>
    </w:p>
    <w:p>
      <w:pPr>
        <w:sectPr>
          <w:pgSz w:w="11900" w:h="16838" w:orient="portrait"/>
          <w:cols w:equalWidth="0" w:num="2">
            <w:col w:w="6040" w:space="720"/>
            <w:col w:w="4480"/>
          </w:cols>
          <w:pgMar w:left="320" w:top="904"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RULE 17Ad-15 (OR ANY SUCCESSOR RULE))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August 18, 2024 (the “</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between HUB Cyber Security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investors identified on the signature pages hereto (each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Company and the Buyers are executing and delivering this Agreement in reliance one or more exemptions contemplated in this Agreement, including in reliance upon the exemption from securities registration afforded by Section 4(a)(2) or Regulation D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or Regulation S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1933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Buyers wish to purchase, and the Company wishes to sell, upon the terms and subject to the conditions stated in this Agreement, (i) convertible unsecured notes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convertible into Ordinary Shares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xml:space="preserve">”) pursuant to the terms set forth therein, and (ii) warrants,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acquire Ordinary Shares pursuant to the terms set forth therein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58"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CONVERTIBLE NOTES AND WARRANTS.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Convertible Notes and Warrants</w:t>
      </w:r>
      <w:r>
        <w:rPr>
          <w:rFonts w:ascii="Times New Roman" w:cs="Times New Roman" w:eastAsia="Times New Roman" w:hAnsi="Times New Roman"/>
          <w:sz w:val="18"/>
          <w:szCs w:val="18"/>
          <w:color w:val="auto"/>
        </w:rPr>
        <w:t>. Subject to the satisfaction (or waiver) of the conditions set forth in Sections 6‎ and 7‎ below, the Company shall issue and sell to each Buyer, and each Buyer shall purchase from the Company on the applicable Closing Date (as defined below), Convertible Notes in an aggregate principal amount as set forth on each Buyer’s respective signature page hereto, along with Warrants to initially acquire up to the aggregate number of Warrant Shares as set forth on each Buyer’s respective signature page 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3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aforementioned issuances, sales and deliveries of Convertible Notes and Warrants shall take place as soon as practicable following the date hereof, but no later than the Business Day following the satisfaction or waiver of all of the closing conditions set forth in Sections 6 and 7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such date of a Closing being,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both"/>
        <w:ind w:firstLine="663"/>
        <w:spacing w:after="0" w:line="255" w:lineRule="auto"/>
        <w:tabs>
          <w:tab w:leader="none" w:pos="9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Purchase Price; Delivery of Securities</w:t>
      </w:r>
      <w:r>
        <w:rPr>
          <w:rFonts w:ascii="Times New Roman" w:cs="Times New Roman" w:eastAsia="Times New Roman" w:hAnsi="Times New Roman"/>
          <w:sz w:val="18"/>
          <w:szCs w:val="18"/>
          <w:color w:val="auto"/>
        </w:rPr>
        <w:t>. Each Buyer shall pay the principal amount as set forth on each Buyer’s respective signature page hereto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by wire transfer of immediately available funds to CLAYMORE CAPITAL PTY LTD ACN 082 722 290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pursuant to written wire instructions to be provided by the trustee to be held on trust for the benefit the Buyers and the Company. On the Closing Date, the Trustee shall release the funds to the account designated by the Company in accordance with its written wire instructions, and the Company shall issue to each Buyer a Convertible Note with the principal amount set forth on such Buyer’s respective signature page hereto, and Warrants to acquire Warrant Shares in the amount as indicated on the signature page hereto, in all cases, duly executed on behalf of the Company and registered in the name of such Buyer or its designee.</w:t>
      </w:r>
    </w:p>
    <w:p>
      <w:pPr>
        <w:spacing w:after="0" w:line="188" w:lineRule="exact"/>
        <w:rPr>
          <w:rFonts w:ascii="Times New Roman" w:cs="Times New Roman" w:eastAsia="Times New Roman" w:hAnsi="Times New Roman"/>
          <w:sz w:val="18"/>
          <w:szCs w:val="18"/>
          <w:color w:val="auto"/>
        </w:rPr>
      </w:pPr>
    </w:p>
    <w:p>
      <w:pPr>
        <w:ind w:firstLine="663"/>
        <w:spacing w:after="0" w:line="282" w:lineRule="auto"/>
        <w:tabs>
          <w:tab w:leader="none" w:pos="91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shall be entitled to withhold Israeli tax on any payment of interest or deemed interest, unless provided with an applicable exemption (or approval of reduced tax withholding rate) issued by the Israel Tax Authority.</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Buyer represents and warrants to the Company, on behalf of itself, that:</w:t>
      </w:r>
    </w:p>
    <w:p>
      <w:pPr>
        <w:spacing w:after="0" w:line="225" w:lineRule="exact"/>
        <w:rPr>
          <w:sz w:val="20"/>
          <w:szCs w:val="20"/>
          <w:color w:val="auto"/>
        </w:rPr>
      </w:pPr>
    </w:p>
    <w:p>
      <w:pPr>
        <w:jc w:val="both"/>
        <w:ind w:firstLine="656"/>
        <w:spacing w:after="0" w:line="266" w:lineRule="auto"/>
        <w:tabs>
          <w:tab w:leader="none" w:pos="8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Sale or Distribution</w:t>
      </w:r>
      <w:r>
        <w:rPr>
          <w:rFonts w:ascii="Times New Roman" w:cs="Times New Roman" w:eastAsia="Times New Roman" w:hAnsi="Times New Roman"/>
          <w:sz w:val="18"/>
          <w:szCs w:val="18"/>
          <w:color w:val="auto"/>
        </w:rPr>
        <w:t>. Such Buyer (i) is acquiring, or will acquire, the Convertible Notes and Warrants, (ii) upon conversion of its Convertible Notes, will acquire the Conversion Shares issuable upon conversion thereof, and (iii) upon exercise of its Warrants will acquire the Warrant Shares issuable upon exercise thereof,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or an exemption under the 1933 Act. Such Buyer does not presently have any agreement or understanding, directly or indirectly, with any Person (as defined below) to distribute any of the Securities in violation of applicable securities laws.</w:t>
      </w:r>
    </w:p>
    <w:p>
      <w:pPr>
        <w:spacing w:after="0" w:line="19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Such Buyer: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4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a “U.S. Person” (as defined in Rule 902 of Regulation S), (i) is acquiring the Securities outside the United States in an offshore transaction meeting the requirements of Regulation S; (ii) is not acquiring, has not offered, and will not offer prior to the expiration of the applicable compliance period pursuant to Rule 903 of Regulation S, the Securities for the account or benefit of any U.S. Person; (iii) did not become aware of the Company or the Securities through any form of “directed selling efforts” (as defined in Rule 902 of Regulation S), and no general solicitation or general advertising in violation of the 1933 Act has been or will be used nor will any offers by means of any directed selling efforts in the United States be made by Buyer or any of its representatives in connection with the offer and sale of any of the Securities; (iv) was outside the United States at the time of the origination of contact concerning the transactions contemplated by this Agreement and on the date of execution and delivery of this Agreement by Buyer; (v) is not acquiring the Securities in a transaction or part of series of transactions that, although in technical compliance with Regulation S, is part of a plan or scheme to evade the registration provisions of the 1933 Act; (vi) agrees that all offers and sales by such Buyer of Securities shall be made pursuant to an effective registration statement under the Securities Act or pursuant to an exemption from, or a transaction not subject to the registration requirements of, the Securities Act, (vii) is neither a U.S. Person nor a Distributor (as defined in Rule 902 of Regulation S) and (viii) is the sole beneficial owner of the Securities specified on signature pages hereto and has not pre-arranged any sale with a purchaser in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660" w:firstLine="644"/>
        <w:spacing w:after="0" w:line="282" w:lineRule="auto"/>
        <w:tabs>
          <w:tab w:leader="none" w:pos="15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a “U.S. Person”, is an “accredited investor” (as defined in Rule 501(a) of Regulation D) (an “Accredited Investor”) and is not subject to any of the “Bad Actor” disqualifications described in Rule 506(d)(1)(i) to (viii) under Regulation 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in Australia, is a ‘sophisticated’ or ‘professional’ investor (as defined under section 708 of the Corporations Act 2001 (Cth));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2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in any other jurisdiction (other than the United States or Australia), to the extent that it is in a jurisdiction that is specifically identified in “Schedule 4 – Foreign Jurisdiction Representations” (“</w:t>
      </w:r>
      <w:r>
        <w:rPr>
          <w:rFonts w:ascii="Times New Roman" w:cs="Times New Roman" w:eastAsia="Times New Roman" w:hAnsi="Times New Roman"/>
          <w:sz w:val="18"/>
          <w:szCs w:val="18"/>
          <w:b w:val="1"/>
          <w:bCs w:val="1"/>
          <w:color w:val="auto"/>
        </w:rPr>
        <w:t>Schedule 4</w:t>
      </w:r>
      <w:r>
        <w:rPr>
          <w:rFonts w:ascii="Times New Roman" w:cs="Times New Roman" w:eastAsia="Times New Roman" w:hAnsi="Times New Roman"/>
          <w:sz w:val="18"/>
          <w:szCs w:val="18"/>
          <w:color w:val="auto"/>
        </w:rPr>
        <w:t>”) of the Master ECM Terms dated 13 March 2024 (the “</w:t>
      </w:r>
      <w:r>
        <w:rPr>
          <w:rFonts w:ascii="Times New Roman" w:cs="Times New Roman" w:eastAsia="Times New Roman" w:hAnsi="Times New Roman"/>
          <w:sz w:val="18"/>
          <w:szCs w:val="18"/>
          <w:b w:val="1"/>
          <w:bCs w:val="1"/>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ECM Terms</w:t>
      </w:r>
      <w:r>
        <w:rPr>
          <w:rFonts w:ascii="Times New Roman" w:cs="Times New Roman" w:eastAsia="Times New Roman" w:hAnsi="Times New Roman"/>
          <w:sz w:val="18"/>
          <w:szCs w:val="18"/>
          <w:color w:val="auto"/>
        </w:rPr>
        <w:t>”) available at the AFMA website at https://afma.com.au/standards/standard-documentation (other than the United States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Australia), is (A) a Person to whom Securities may lawfully be offered and issued in compliance with applicable laws of that jurisdiction without lodgment, registration or other formality or filing with or by a Government Agency, and (B) a Person described in the Foreign Jurisdiction Representation (as defined in the Master ECM Terms) set out in “Section 5A – Additional Foreign Jurisdiction Representations – Jurisdictions other than the United States” of Schedule 4 of the Master ECM Terms for that jurisdiction applies (and which applicable Foreign Jurisdiction Representation is imported by reference in to this Agreement – which the Buyer warrants it has read and understood).</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Such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Such Buyer and its advisors, if any, acknowledge that they have been furnished with or provided access via EDGAR to the Company’s most recent Annual Report on Form 20-F, if any, and Reports of Foreign Private Issuers on Form 6-K as well as Registration Statements on Form F-1 or F-4 (including amendments thereto). Such Buyer and its advisors, if any, have been afforded the opportunity to ask questions of, and receive answers from, the Company concerning the offer and sale of the Securities and to obtain any additional information such Buyer has requested which is necessary to verify the accuracy of the information furnished to such Buyer concerning the Company and such offering. Such Buyer understands that its investment in the Securities involves a high degree of risk. Such Buyer has sought such accounting, legal and tax advice as it has considered necessary to make an informed investment decision with respect to its acquisition of the Securities. Such Buyer acknowledges that such Buyer is basing its decision to invest in the Securities solely upon the information contained in the Transaction Documents, the Company’s most recent Annual Report on Form 20-F, if any, and Reports of Foreign Private Issuers on Form 6-K, if any, and its own due diligence and, except as specifically set forth in this Agreement, has not based its investment decision upon any representations made by any Person (as defined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56"/>
        <w:spacing w:after="0" w:line="266" w:lineRule="auto"/>
        <w:tabs>
          <w:tab w:leader="none" w:pos="8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Such Buyer understands, that except as provided in Section 4(e)‎ hereof: (i) the Securities have not been and are not being registered under the 1933 Act or any state securities laws, and may not be offered for sale, sold, assigned or transferred unless (A) subsequently registered thereunder, (B) such Buyer shall have delivered to the Company (if requested by the Company) an opinion of counsel to such Buyer, in a form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promulgated under the 1933 Act (or a successor rule thereto)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and (ii) neither the Company nor any other Person is under any obligation to register the Securities under the 1933 Act or any state securities laws or to comply with the terms and conditions of any exemption thereunder.</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Enforcement</w:t>
      </w:r>
      <w:r>
        <w:rPr>
          <w:rFonts w:ascii="Times New Roman" w:cs="Times New Roman" w:eastAsia="Times New Roman" w:hAnsi="Times New Roman"/>
          <w:sz w:val="18"/>
          <w:szCs w:val="18"/>
          <w:color w:val="auto"/>
        </w:rPr>
        <w:t>. The execution and delivery of the Transaction Documents and the consummation by such Buyer of the transactions contemplated hereby and thereby have been duly and validly authorized by all necessary action on the part of such Buyer and no further consent or authorization of such Buyer or its members is required. Each Transaction Document has been duly executed by such Buyer and when delivered in accordance with terms hereof and thereof, constitutes the legal, valid and binding obligations of such Buyer enforceable against such Buyer in accordance with its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89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Buyer of this Agreement and the consummation by such Buyer of the transactions contemplated hereby will not (i) result in a violation of the organizational documents of such Buyer,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would not, individually or in the aggregate, reasonably be expected to have a Material Adverse Effect on the ability of such Buyer to perform its obligations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right="20" w:firstLine="656"/>
        <w:spacing w:after="0" w:line="266" w:lineRule="auto"/>
        <w:tabs>
          <w:tab w:leader="none" w:pos="8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Buyer</w:t>
      </w:r>
      <w:r>
        <w:rPr>
          <w:rFonts w:ascii="Times New Roman" w:cs="Times New Roman" w:eastAsia="Times New Roman" w:hAnsi="Times New Roman"/>
          <w:sz w:val="18"/>
          <w:szCs w:val="18"/>
          <w:color w:val="auto"/>
        </w:rPr>
        <w:t>. Such Buyer has such knowledge, sophistication and experience in business and financial matter so as to be capable of evaluating the merits and risks of the prospective investment in the Securities, and has so evaluated the merits and risks of such investment. Such Buyer is able to bear the economic risk of an investment in the Securities and, at the present time, is able to afford a complete loss of such investment.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such Buyer nor any of its subsidiaries or affiliates, nor, to the knowledge of such Buyer, any director, officer, agent, employee, member or other Person acting on behalf of such Buyer or any its subsidiaries or affiliates has, in the course of its actions for, or on behalf of, such Buyer or any of its subsidiaries or affiliates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of any foreign or domestic government official or employee.</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Buyer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advertisement.</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 Representations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represents that all evidence of identity provided is genuine and all related information furnished is accurate.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7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hereby acknowledges that the Company seeks to comply with all applicable anti-money laundering laws and regulations. In furtherance of such efforts, such Buyer hereby represents and agrees that: (A) no part of the funds used by such Buyer to acquire the Securities have been, or shall be, directly or indirectly derived from, or related to, any activity that may contravene federal, state, or international laws and regulations, including anti-money laundering laws and regulations; and (B) no payment to the Company by such Buyer shall cause the Company to be in violation of any applicable anti-money laundering laws and regulations including without limitation, the Uniting and Strengthening America by Providing Appropriate Tools Required to Intercept and Obstruct Terrorism (USA PATRIOT ACT) Act of 2001, Executive Order 13224 (2001) (the “Patriot Act”) issued by the President of the United States and the U.S. Department of the Treasury Office of Foreign Assets Control (“OFAC”) regulations.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left="660" w:firstLine="644"/>
        <w:spacing w:after="0" w:line="235" w:lineRule="auto"/>
        <w:tabs>
          <w:tab w:leader="none" w:pos="16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represents and warrants that the amounts to be paid by such Buyer to the Company will not be directly or indirectly derived from activities that may contravene federal, state or international laws and regulations, including anti-money laundering laws and regulations. Such Buyer represents and warrants that, to the best of its knowledge, none of: (A) such Buyer; (B) any Person controlling or controlled by such Buyer; or (C) any Person having a beneficial interest in such Buyer is (I) a country, territory, individual or entity named on a list maintained by OFAC, (II) a Person prohibited under the OFAC Programs, (III) a senior foreign political figure,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or any immediate family</w:t>
      </w:r>
    </w:p>
    <w:p>
      <w:pPr>
        <w:spacing w:after="0" w:line="3" w:lineRule="exact"/>
        <w:rPr>
          <w:sz w:val="20"/>
          <w:szCs w:val="20"/>
          <w:color w:val="auto"/>
        </w:rPr>
      </w:pPr>
    </w:p>
    <w:p>
      <w:pPr>
        <w:jc w:val="both"/>
        <w:ind w:left="660"/>
        <w:spacing w:after="0" w:line="220" w:lineRule="auto"/>
        <w:rPr>
          <w:sz w:val="20"/>
          <w:szCs w:val="20"/>
          <w:color w:val="auto"/>
        </w:rPr>
      </w:pPr>
      <w:r>
        <w:rPr>
          <w:rFonts w:ascii="Times New Roman" w:cs="Times New Roman" w:eastAsia="Times New Roman" w:hAnsi="Times New Roman"/>
          <w:sz w:val="18"/>
          <w:szCs w:val="18"/>
          <w:color w:val="auto"/>
        </w:rPr>
        <w:t>member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close associate</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a senior foreign political figure as such terms are defined in the footnotes below or (IV) a “foreign shell bank” within the meaning of the U.S. Bank Secrecy Act (31 U.S.C. §5311 et seq.), as amended (the “Bank Secrecy Act”) and the regulations promulgated thereunder by the U.S. Department of the Treasury.</w:t>
      </w:r>
    </w:p>
    <w:p>
      <w:pPr>
        <w:spacing w:after="0" w:line="200" w:lineRule="exact"/>
        <w:rPr>
          <w:sz w:val="20"/>
          <w:szCs w:val="20"/>
          <w:color w:val="auto"/>
        </w:rPr>
      </w:pPr>
    </w:p>
    <w:p>
      <w:pPr>
        <w:jc w:val="both"/>
        <w:ind w:left="660" w:firstLine="644"/>
        <w:spacing w:after="0" w:line="266" w:lineRule="auto"/>
        <w:tabs>
          <w:tab w:leader="none" w:pos="163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further represents and warrants that such Buyer: (A) has conducted thorough due diligence with respect to all of its beneficial owners, (B) has established the identities of all beneficial owners and the source of each of the beneficial owner’s funds and (C) will retain evidence of any such identities, any such source of funds and any such due diligence.</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such Buyer nor any Person directly or indirectly controlling, controlled by or under common control with such Buyer is a person identified as a terrorist organization on any relevant lists maintained by governmental authorities.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2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agrees to provide the Company all information that may be reasonably requested to comply with applicable laws and regulations of any applicable jurisdiction, or to respond to requests for information concerning the identity of such Buyer from any governmental authority, self-regulatory organization or financial institution in connection with its anti-money laundering compliance procedures, or to update such information. Such Buyer agrees to notify the Company promptly if there is any change with respect to the representations and warranties provided herein. Such Buyer consents to the disclosure to regulators and law enforcement authorities by the Company and its affiliates and agents of any information about such Buyer or its constituents as the Company reasonably deems necessary or appropriate to comply with applicable anti-money laundering, anti-terrorist and asset control laws, regulations, rules and orders.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u w:val="single" w:color="auto"/>
          <w:color w:val="auto"/>
        </w:rPr>
        <w:t>Buyer is not required to be registered as a broker-dealer under Section 15 of the Exchange Act, and such Buyer is not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broker-dealer, nor an affiliate of a broker-dealer.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2" w:lineRule="exact"/>
        <w:rPr>
          <w:sz w:val="20"/>
          <w:szCs w:val="20"/>
          <w:color w:val="auto"/>
        </w:rPr>
      </w:pPr>
    </w:p>
    <w:p>
      <w:pPr>
        <w:jc w:val="both"/>
        <w:ind w:left="340" w:hanging="332"/>
        <w:spacing w:after="0" w:line="219" w:lineRule="auto"/>
        <w:tabs>
          <w:tab w:leader="none" w:pos="34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“senior foreign political figure” is defined as a senior official in the executive, legislative, administrative, military or judicial branches of a foreign government (whether elected or not), a senior official of a major foreign political party, or a senior executive of a foreign government-owned corporation. In addition, a “senior foreign political figure” includes any corporation, business or other entity that has been formed by, or for the benefit of, a senior foreign political figure.</w:t>
      </w:r>
    </w:p>
    <w:p>
      <w:pPr>
        <w:spacing w:after="0" w:line="88"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“Immediate family” of a senior foreign political figure typically includes the figure’s parents, siblings, spouse, children and in-laws.</w:t>
      </w:r>
    </w:p>
    <w:p>
      <w:pPr>
        <w:spacing w:after="0" w:line="198" w:lineRule="exact"/>
        <w:rPr>
          <w:sz w:val="20"/>
          <w:szCs w:val="20"/>
          <w:color w:val="auto"/>
        </w:rPr>
      </w:pPr>
    </w:p>
    <w:p>
      <w:pPr>
        <w:jc w:val="both"/>
        <w:ind w:left="340" w:hanging="332"/>
        <w:spacing w:after="0" w:line="210" w:lineRule="auto"/>
        <w:tabs>
          <w:tab w:leader="none" w:pos="34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“close associate” of a senior foreign political figure is a person who is widely and publicly known to maintain an unusually close relationship with the senior foreign political figure, and includes a person who is in a position to conduct substantial domestic and international financial transactions on behalf of the senior foreign political figure.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3. REPRESENTATIONS AND WARRANTIES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represents and warrants to the Buyers the matters set forth in this Section 3. These representations and warranties are current as of the date of this Agreement, except to the extent that a representation or warranty expressly states that such representation or warranty is current only as of an earlier date. If any information is so reflected as of an earlier date, there have been no material changes since such date to the date hereof.</w:t>
      </w:r>
    </w:p>
    <w:p>
      <w:pPr>
        <w:spacing w:after="0" w:line="176" w:lineRule="exact"/>
        <w:rPr>
          <w:sz w:val="20"/>
          <w:szCs w:val="20"/>
          <w:color w:val="auto"/>
        </w:rPr>
      </w:pPr>
    </w:p>
    <w:p>
      <w:pPr>
        <w:jc w:val="both"/>
        <w:ind w:firstLine="656"/>
        <w:spacing w:after="0" w:line="256" w:lineRule="auto"/>
        <w:tabs>
          <w:tab w:leader="none" w:pos="9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each of its subsidiaries are (i) entities duly organized and validly existing and in good standing under the laws of the jurisdiction in which they are formed (to the extent such concept exists in the applicable jurisdiction), and have the requisite power and authorization to own their properties and to carry on their business as now being conducted and (ii) is duly qualified as a foreign entity to do business and is in good standing in every jurisdiction (to the extent such concept exists in the applicable jurisdiction) in which its ownership of property or the nature of the business conducted by it makes such qualification necessary, except to the extent that the failure to be so qualified or be in good standing would not have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Convertible Notes and the issuance of the Warrants and the reservation for issuance and issuance of the Conversion Shares upon conversion of the Convertible Notes and the reservation for issuance and issuance of the Warrant Shares issuable upon exercise of the Warrants) have been (i) duly authorized by the Company’s board of directors and (ii) no further filing, consent or authorization is required by the Company, its board of directors or its shareholders or other governing body of the Company (other than the filing of required notices and/or applications to the Principal Market for the issuance and sale of the Securities). This Agreement has been, and the other Transaction Documents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9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issuance of the Securities is duly authorized and, upon issuance in accordance with the terms of the Transaction Documents, will be validly issued, fully paid and non-assessable and free from all preemptive or similar rights, taxes, Liens, charges and other encumbrances with respect to the issue thereof. As of the Closing, the Company shall have reserved from its duly authorized capital stock not less than the maximum number of Conversion Shares issuable upon conversion of the Convertible Notes (without taking into account any limitations on the conversion of the Convertible Notes set forth therein) and (ii) the maximum number of Warrant Shares issuable upon exercise of the Warrants (without taking into account any limitations on the exercise of the Warrants set forth therein). Subject to the accuracy of the representations and warranties of the Buyers in this Agreement, the offer and issuance by the Company of the Securities is exempt from registration under the 1933 Act. Upon issuance in accordance with the terms of the Transaction Documents, Buyers will have good and marketable title to the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ind w:firstLine="656"/>
        <w:spacing w:after="0" w:line="255" w:lineRule="auto"/>
        <w:tabs>
          <w:tab w:leader="none" w:pos="93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Convertible Notes, the Conversion Shares, the Warrants and the Warrant Shares and the reservation for issuance of the Conversion Shares and the Warrant Shares) will not (i) result in a violation of the Articles of Association of the Company or other organizational documents of the Company or any of its subsidiaries, any capital stock of the Company or any of its subsidiaries or bylaws or operating agreements of the Company or any of its subsidiaries or (ii) result in a violation of any law, rule, regulation, order, judgment or decree, except, in the case of this clause (ii), to the extent such violations that could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90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Neither the Company nor any subsidiary is required to obtain any consent from, authorization or order of, or make any filing or registration with any court, governmental agency or any regulatory or self-regulatory agency or any other Person (other than the filing of required notices and/or applications to the Principal Market for the issuance and sale of the Securities), in order for it to execute, deliver or perform any of its respective obligations under, or contemplated by, the Transaction Documents, in each case, in accordance with the terms hereof or thereof. All consents, authorizations, orders, filings and registrations that the Company is required to obtain at or prior to the Closing have been obtained or effected on or prior to the Closing Date, and the Company is not aware of any facts or circumstances that might prevent the Company from obtaining or effecting any of the registration, application or filings contemplated by the Transaction Documents.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88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The Company acknowledges and agrees that each Buyer is acting solely in the capacity of an arm’s length purchaser with respect to the Transaction Documents and the transactions contemplated hereby and thereby and that such Buyer is not (i) an officer or director of the Company, (ii) an affiliate (as defined in Rule 405 of the 1933 Act) of the Company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(iii) to its knowledge, a “beneficial owner” (as defined for purposes of Rule 13d-3 of the 1934 Act) of more than 10% of the Ordinary Shares. The Company further acknowledges that each Buyer is not acting as a financial advisor or fiduciary of the Company or any of its subsidiaries (or in any similar capacity) with respect to the Transaction Documents and the transactions contemplated hereby and thereby, and any advice given by such Buyer or any of its representatives or agents in connection with the Transaction Documents and the transactions contemplated hereby and thereby is merely incidental to such Buyer’s purchase of the Securities. The Company further represents to such Buyer that the Company’s decision to enter into the Transaction Documents to which it is a party has been based solely on the independent evaluation by the Company and its representatives.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56"/>
        <w:spacing w:after="0" w:line="258" w:lineRule="auto"/>
        <w:tabs>
          <w:tab w:leader="none" w:pos="90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D; Placement Agent’s Fees</w:t>
      </w:r>
      <w:r>
        <w:rPr>
          <w:rFonts w:ascii="Times New Roman" w:cs="Times New Roman" w:eastAsia="Times New Roman" w:hAnsi="Times New Roman"/>
          <w:sz w:val="18"/>
          <w:szCs w:val="18"/>
          <w:color w:val="auto"/>
        </w:rPr>
        <w:t>. Neither the Company nor any of its affiliates (as defined in Regulation 501 under the 1933 Act) nor any person acting on its or their behalf has engaged or will engage in any form of general solicitation or general advertising (within the meaning of Regulation D) in connection with the offering of the Securities and it and they have complied and will comply with the offering restrictions requirement of Regulation D. The Company shall be responsible for the payment of any of its placement agent’s fees, financial advisory fees, or brokers’ commissions, relating to or arising out of the transactions contemplated hereby.</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any of its Affiliates, or, to the knowledge of the Company, any Person acting on the behalf of the Company or any of its Affiliates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shareholders of the Company under any applicable shareholder approval provisions, including, without limitation, under the rules and regulations of any exchange or automated quotation system on which any of the securities of the Company are listed or designated for quotation. None of the Company, any of its Affiliates, or, to the knowledge of the Company, any Person acting on the behalf of the Company or any of its Affiliates will take any action or steps that would require registration of the issuance of any of the Securities under the 1933 Act or cause the offering of any of the Securities to be integrated with other offerings of securities of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87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shareholder, business combination, poison pill (including, without limitation, any distribution under a rights agreement), shareholder rights plan or other similar anti-takeover provision under the Articles of Association or other organizational documents of the Company or any of its Affiliates or the laws of the jurisdiction of its incorporation or otherwise which is or could become applicable to each Buyer as a result of the transactions contemplated by this Agreement, including, without limitation, the Company’s issuance of the Securities and such Buyer’s ownership of the Securities. The Company and its board of directors have taken all necessary action, if any, in order to render inapplicable any shareholder rights plan or similar arrangement relating to accumulations of beneficial ownership of Ordinary Shares or a change in control of the Company or any of its Affiliates.</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86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As of their respective dates, all reports, schedules, forms, statements and other documents required to be filed by the Company with the SEC pursuant to the reporting requirements of the 1934 Act (all of the foregoing, as well as all registration statements under the 1933 Act,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its dates, the financial statements of the Company included in the SEC Documents have been prepared in accordance with generally accepted accounting principles, consistently applied, during the periods involved (except (i) as may be otherwise indicated in such financial statements or the notes thereto, or</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28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unaudited interim statements, to the extent they may exclude the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No other information provided by or on behalf of the Company to each Buyer which is not included in the SEC Documents contains any untrue statement of a material fact or omits to state any material fact necessary in order to make the statements therein not misleading, in the light of the circumstance under which they are or were made.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56"/>
        <w:spacing w:after="0" w:line="255"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a Form 20-F (or Form F-1 if filed more recently), except as disclosed in the SEC Documents filed subsequent to such Form 20-F (or Form F-1, as applicable), there has been no material adverse change and no material adverse development in the business, assets, liabilities, properties, operations (including results thereof), or condition (financial or otherwise) of the Company and its subsidiaries. Since the date of the Company’s most recent audited financial statements contained in a Form 20-F (or Form F-1, as applicable), neither the Company nor any of its subsidiaries has (i) declared or paid any dividends, (ii) sold any material assets outside of the ordinary course of business or (iii) made any material capital expenditures, individually or in the aggregate, outside of the ordinary course of business.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Except as disclosed in the SEC Documents, no event, liability, development or circumstance has occurred or exists, or is reasonably expected to occur or exist with respect to the Company or any of its subsidiaries or any of their respective businesses, properties, liabilities, prospects, operations (including results thereof) or condition (financial or otherwise) that would have a Material Adverse Effect on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 Regulatory Permits</w:t>
      </w:r>
      <w:r>
        <w:rPr>
          <w:rFonts w:ascii="Times New Roman" w:cs="Times New Roman" w:eastAsia="Times New Roman" w:hAnsi="Times New Roman"/>
          <w:sz w:val="18"/>
          <w:szCs w:val="18"/>
          <w:color w:val="auto"/>
        </w:rPr>
        <w:t>. Neither the Company nor any of its subsidiaries is in violation of any judgment, decree or order or any statute, ordinance, rule or regulation applicable to the Company or any of its subsidiaries, and the Company will not conduct its business in violation of any of the foregoing, except in all cases for possible violations which could not, individually or in the aggregate, have a Material Adverse Effect. Since February 28, 2023, (i) the Ordinary Shares have been designated for quotation on the Principal Market, (ii) trading in the Ordinary Shares has not been suspended by the SEC or the Principal Market and (iii) except as disclosed in the SEC Documents, the Company has received no communication, written or oral, from the SEC or the Principal Market regarding the suspension of the Ordinary Shares from the Principal Market. The Company and each of its subsidiaries possess all certificates, authorizations and permits issued by the appropriate regulatory authorities necessary to conduct their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of its subsidiaries nor to the knowledge of the Company, any director, officer, agent, employee or other Person acting on behalf of the Company or any of its subsidiaries (as applicable)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Except as set forth in the SEC Documents, the Company and each of its subsidiaries is in material compliance with all applicable requirements of the Sarbanes-Oxley Act of 2002 and all applicable rules and regulations promulgated by the SEC thereunder.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3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as disclosed in the SEC Documents, none of the officers, directors, employees or Affiliates of the Company is presently a party to any transaction with the Company (other than for ordinary course services as employees, officers or directors and immaterial transactions), including any contract, agreement or other arrangement providing for the furnishing of services to or by, providing for rental of real or personal property to or from, or otherwise requiring payments to or from any such officer, director, employee or Affiliate or, to the knowledge of the Company, any corporation, partnership, trust or other Person in which any such officer, director, employee or Affiliate has a substantial interest or is an employee, officer, director, trustee or partner.</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 All of the Company’s outstanding Ordinary Shares are duly authorized and have been, or upon issuance will be, validly issued, fully paid and non-assessable. Except as disclosed in the SEC Documents: (i) to the Company’s knowledge, no Person owns 10% or more of the Company’s issued and outstanding Ordinary Shares; (ii) the Company’s capital stock and the capital stock of its subsidiaries are not subject to preemptive rights or any other similar rights or any Liens; and (iii) there are no outstanding options, warrants, scrip, rights to subscribe to, calls or commitments of any character whatsoever relating to, or securities or rights convertible into, or exercisable or exchangeable for, any capital stock of the Company or any of its subsidiaries, or contracts, commitments, understandings or arrangements by which the Company or any of its subsidiaries is or may become bound to issue additional capital stock or options, warrants, scrip, rights to subscribe to, calls or commitments of any character whatsoever relating to, or securities or rights convertible into, or exercisable or exchangeable for, any capital stock of the Company or any of its subsidiaries, respectively (other than as may be issued from time to time under any equity incentive plan maintained). The SEC Documents contain true, correct and complete copies of the Company’s Articles of Association, as amended and as in effect on the date, and the terms of all securities convertible into, or exercisable or exchangeable for, Ordinary Shares and the material rights of the holders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56"/>
        <w:spacing w:after="0" w:line="254" w:lineRule="auto"/>
        <w:tabs>
          <w:tab w:leader="none" w:pos="87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Except as disclosed in the SEC Documents, each of the Company and its subsidiaries (i) does not have any material outstanding Indebtedness, Indebtedness secured by any Lien on any assets of the Company or any of its subsidiaries or other material debt obligations, except for the Convertible Notes, (ii) is not a party to any contract, agreement or instrument, the violation of which, or default under which, by the other party(ies) to such contract, agreement or instrument could reasonably be expected to result in a Material Adverse Effect, (iii) is not in violation of any term of, or in default under, any contract, agreement or instrument relating to any Indebtedness, except where such violations and defaults would not result, individually or in the aggregate, in a Material Adverse Effect, and (iv) is not a party to any contract, agreement or instrument relating to any Indebtedness, the performance of which, in the judgment of the Company’s officers, has or is expected to have a Material Adverse Effect. The Company has no current intention or expectation to file for reorganization or liquidation under the bankruptcy or reorganization laws of any jurisdiction.</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8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the SEC Documents, there is no action, suit, proceeding, inquiry or investigation before or by the Principal Market, any court, public board, government agency, self-regulatory organization or body pending or, to the knowledge of the Company, threatened against or affecting the Company or any of its subsidiaries, the Ordinary Shares or any of the Company’s or its subsidiaries’ executive officers or directors which would be reasonably likely to adversely affect the transactions contemplated by this Agreement or would require disclosure in the SEC Documents.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the Company has no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a party to any collective bargaining agreement nor does it employ any member of a union. To the knowledge of the Company, no executive officer (as defined in Rule 501(f) promulgated under the 1933 Act) of the Company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does not subject the Company to any liability with respect to any of the foregoing matters.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The Company and its subsidiaries have good and marketable title to (i) all real property owned by it and (ii) all personal property, owned by them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any of its subsidiaries. Any real property and facilities held under lease by the Company and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56"/>
        <w:spacing w:after="0" w:line="256" w:lineRule="auto"/>
        <w:tabs>
          <w:tab w:leader="none" w:pos="94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material trademarks, trade names, service marks, service mark registrations, service names, patents, patent rights, copyrights, original works,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necessary to conduct their respective businesses as now conducted. Except as disclosed in the SEC Documents, none of the Company’s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Intellectual Property Rights have expired, terminated or been abandoned, or are expected to expire, terminate or be abandoned, within three years from the date of this Agreement, which could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Each of the Company and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and except in each case where the failure to file, pay or set aside could not be reasonably expected to have a Material Adverse Effect. The Company is not operated in such a manner as to qualify as a passive foreign investment company, as defined in Section 1297 of the U.S. Internal Revenue Code of 1986, as amended.</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and Disclosure Controls</w:t>
      </w:r>
      <w:r>
        <w:rPr>
          <w:rFonts w:ascii="Times New Roman" w:cs="Times New Roman" w:eastAsia="Times New Roman" w:hAnsi="Times New Roman"/>
          <w:sz w:val="18"/>
          <w:szCs w:val="18"/>
          <w:color w:val="auto"/>
        </w:rPr>
        <w:t>. Except as disclosed in the SEC Documents,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generally accepted accounting principles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Except as disclosed in the SEC Documents,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56"/>
        <w:spacing w:after="0" w:line="266" w:lineRule="auto"/>
        <w:tabs>
          <w:tab w:leader="none" w:pos="98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Neither the Company nor any of its subsidiaries is or has ever been, and so long as any of the Securities are held by any Buyer, shall not become, a U.S. real property holding corporation within the meaning of Section 897 of the Internal Revenue Code of 1986, as amended, and the Company and each subsidiary shall so certify upon any Buyer’s request.</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9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1933 Act) connected with the Company in any capacity at the time of sale (each, an “</w:t>
      </w:r>
      <w:r>
        <w:rPr>
          <w:rFonts w:ascii="Times New Roman" w:cs="Times New Roman" w:eastAsia="Times New Roman" w:hAnsi="Times New Roman"/>
          <w:sz w:val="18"/>
          <w:szCs w:val="18"/>
          <w:b w:val="1"/>
          <w:bCs w:val="1"/>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1933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never been, an issuer identified in, or subject to, Rule 144(i).</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9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 or Unauthorized Payments; Political Contributions</w:t>
      </w:r>
      <w:r>
        <w:rPr>
          <w:rFonts w:ascii="Times New Roman" w:cs="Times New Roman" w:eastAsia="Times New Roman" w:hAnsi="Times New Roman"/>
          <w:sz w:val="18"/>
          <w:szCs w:val="18"/>
          <w:color w:val="auto"/>
        </w:rPr>
        <w:t>. Neither the Company nor any of its subsidiaries nor, to the best of the Company’s knowledge (after reasonable inquiry of its executive officers and directors), any of the officers, directors, employees, agents or other representatives of the Company or any of its subsidiaries or any other business entity or enterprise with which the Company or any of its subsidiaries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without limitation,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9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All disclosure provided to any Buyer regarding the Company, its subsidiaries, their respective businesses and the transactions contemplated hereby, including the schedules to this Agreement, furnished by or on behalf of the Company or any of its subsidiaries is true and correct in all material respects and does not contain any untrue statement of a material fact or omit to state any material fact necessary in order to make the statements made therein, in the light of the circumstances under which they were made, not misleading.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180" w:hanging="172"/>
        <w:spacing w:after="0"/>
        <w:tabs>
          <w:tab w:leader="none" w:pos="1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proceeds from the sale of the Convertible Notes and the Warrants for general corporate purposes.</w:t>
      </w:r>
    </w:p>
    <w:p>
      <w:pPr>
        <w:spacing w:after="0" w:line="221" w:lineRule="exact"/>
        <w:rPr>
          <w:rFonts w:ascii="Times New Roman" w:cs="Times New Roman" w:eastAsia="Times New Roman" w:hAnsi="Times New Roman"/>
          <w:sz w:val="18"/>
          <w:szCs w:val="18"/>
          <w:color w:val="auto"/>
        </w:rPr>
      </w:pPr>
    </w:p>
    <w:p>
      <w:pPr>
        <w:jc w:val="both"/>
        <w:ind w:firstLine="656"/>
        <w:spacing w:after="0" w:line="255" w:lineRule="auto"/>
        <w:tabs>
          <w:tab w:leader="none" w:pos="91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Until the date on which the Buyers shall have sold all of the Registrable Securities (the “</w:t>
      </w:r>
      <w:r>
        <w:rPr>
          <w:rFonts w:ascii="Times New Roman" w:cs="Times New Roman" w:eastAsia="Times New Roman" w:hAnsi="Times New Roman"/>
          <w:sz w:val="18"/>
          <w:szCs w:val="18"/>
          <w:b w:val="1"/>
          <w:bCs w:val="1"/>
          <w:color w:val="auto"/>
        </w:rPr>
        <w:t>Reporting Period</w:t>
      </w:r>
      <w:r>
        <w:rPr>
          <w:rFonts w:ascii="Times New Roman" w:cs="Times New Roman" w:eastAsia="Times New Roman" w:hAnsi="Times New Roman"/>
          <w:sz w:val="18"/>
          <w:szCs w:val="18"/>
          <w:color w:val="auto"/>
        </w:rPr>
        <w:t>”), the Company agrees to send the following to each Buyer unless the following are filed with the SEC through EDGAR and are available to the public through the EDGAR system, (i) within one (1) Business Day after the filing thereof with the SEC, a copy of its Annual Reports on Form 20-F and Reports of Foreign Private Issuers on Form 6-K, any interim reports or any consolidated balance sheets, income statements, shareholders’ equity statements and/or cash flow statements for any period other than annual, any Reports of Foreign Private Issuers on Form 6-K and any registration statements (other than on Form S-8) or amendments filed pursuant to the 1933 Act, (ii) on the same day as the release thereof, facsimile copies of all press releases issued by the Company and (iii) copies of any notices and other information made available or given to the shareholders of the Company generally, contemporaneously with the making available or giving thereof to the shareholders.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8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commercially reasonable efforts to promptly secure the listing or designation for quotation (as the case may be) of all of the Registrable Securities consisting of Ordinary Shares upon each trading market and national securities exchange and automated quotation system, if any, upon which the Ordinary Shares are then listed or designated for quotation (as the case may be) so that all such Registrable Securities consisting of Ordinary Shares may be traded on the foregoing, subject to official notice of issuance, and shall maintain such listing or designation for quotation (as the case may be) of all Registrable Securities from time to time issuable under the terms of the Transaction Documents on such national securities exchange or automated quotation system. The Company shall use its commercially reasonable efforts to maintain the Ordinary Shares’ listing or designation for quotation (as the case may be) on the Principal Market, The New York Stock Exchange, the NYSE Amex, the Nasdaq Global Select Market or the Nasdaq Global Market (each, an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The Company shall not take any action which could be reasonably expected to result in the delisting or suspension of the Ordinary Shares on the Principal Market or an Eligible Market.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be responsible for the payment of any of its placement agent’s fees, financial advisory fees, transfer agent fees, DTC fees or broker’s commissions, relating to or arising out of the transactions contemplated hereby. Except as otherwise set forth in the Transaction Documents, each party to this Agreement shall bear its own expenses in connection with the sale of the Securities to each Buyer.</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8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the Securities may be pledged by each Buyer in connection with a bona fide margin agreement or other loan or financing arrangement that is secured by the Securities. The pledge of Securities shall not be deemed to be a transfer, sale or assignment of the Securities hereunder, and each Buyer effecting a pledge of Securities shall not be required to provide the Company with any notice thereof or otherwise make any delivery to the Company pursuant to this Agreement or any other Transaction Document. At each Buyer’s expense, the Company hereby agrees to execute and deliver such documentation as a pledgee of the Securities may reasonably request in connection with a pledge of the Securities to such pledgee by each Buyer provided that the Company shall be under no obligation to deliver any legal opinion required in connection therewith unless required by the Company’s transfer agent to be issued by the Company’s legal counsel.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ind w:firstLine="656"/>
        <w:spacing w:after="0" w:line="253" w:lineRule="auto"/>
        <w:tabs>
          <w:tab w:leader="none" w:pos="8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Transactions and Other Material Information</w:t>
      </w:r>
      <w:r>
        <w:rPr>
          <w:rFonts w:ascii="Times New Roman" w:cs="Times New Roman" w:eastAsia="Times New Roman" w:hAnsi="Times New Roman"/>
          <w:sz w:val="18"/>
          <w:szCs w:val="18"/>
          <w:color w:val="auto"/>
        </w:rPr>
        <w:t>. The Company shall not, and the Company shall cause each of its officers, directors, employees and agents not to, provide each Buyer with any material, non-public information regarding the Company from and after the Execution Date without the express prior written consent of such Buyer. Subject to the foregoing, neither the Company nor any Buyer shall issue any press releases or any other public statements with respect to the transactions contemplated hereby; provided, however, the Company shall be entitled, without the prior approval of each Buyer, to make any press release or other public disclosure with respect to such transactions as is required by applicable law and regulations (provided that such Buyer shall be consulted by the Company in connection with any such press release or other public disclosure prior to its release). Without the prior written consent of each Buyer, the Company shall not (and shall cause each of its affiliates to not) disclose the name of such Buyer in any filing (other than as required by applicable law or rules and regulations), announcement, release or otherwise. Notwithstanding anything contained in this Agreement to the contrary and without implication that the contrary would otherwise be true, the Company expressly acknowledges and agrees that each Buyer has not had, and such Buyer shall not have (unless expressly agreed to by such Buyer after the date hereof in a written definitive and binding agreement executed by the Company and such Buyer), any duty of confidentiality with respect to, or a duty not to trade on the basis of, any information regarding the Company or any of its subsidiaries (as applicable) that such Buyer receives from the Company, any of its subsidiaries or any of its or its officers, directors, employees, shareholders or agents.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As long as any of the Convertible Notes and Warrants remain outstanding, the Company shall take all action necessary to at all times have authorized and reserved for the purpose of issuance, no less than the number of Ordinary Shares issuable upon conversion of the Convertible Notes and exercise of the Warrants.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business of the Company shall not be conducted in violation of any law, ordinance or regulation of any governmental entity, except where such violations would not result, either individually or in the aggregate, in a Material Adverse Effect.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Passive Foreign Investment Company</w:t>
      </w:r>
      <w:r>
        <w:rPr>
          <w:rFonts w:ascii="Times New Roman" w:cs="Times New Roman" w:eastAsia="Times New Roman" w:hAnsi="Times New Roman"/>
          <w:sz w:val="18"/>
          <w:szCs w:val="18"/>
          <w:color w:val="auto"/>
        </w:rPr>
        <w:t>. The Company shall conduct its business in such a manner as will ensure that the Company will not be deemed to constitute a passive foreign investment company within the meaning of Section 1297 of the U.S. Internal Revenue Code of 1986, as amended.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9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Registration</w:t>
      </w:r>
      <w:r>
        <w:rPr>
          <w:rFonts w:ascii="Times New Roman" w:cs="Times New Roman" w:eastAsia="Times New Roman" w:hAnsi="Times New Roman"/>
          <w:sz w:val="18"/>
          <w:szCs w:val="18"/>
          <w:color w:val="auto"/>
        </w:rPr>
        <w:t>. No later than one (1) month following the filing of its annual report in respect to fiscal year 2023 with the SEC, the Company shall file an amendment to its draft registration statement on Form F-1 to register the issuance of the Registrable Securities with the SEC and use reasonable commercial efforts to cause such registration statement to be declared effective by the SEC as soon as practicable thereafter but in no event not later than ninety (90) days following such filing. Prior to the registration statement becoming effective, the Company shall enter into with each Buyer an indemnification undertaking in customary form relating thereto.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180" w:hanging="172"/>
        <w:spacing w:after="0"/>
        <w:tabs>
          <w:tab w:leader="none" w:pos="1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AGENT INSTRUCTIONS; LEGEND.</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The Company shall issue irrevocable instructions to its transfer agent and any subsequent transfer agent in a form acceptable to each Buyer to issue certificates or credit shares to the applicable balance accounts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registered in the name of such Buyer or its respective nominee(s), for the Conversion Shares and the Warrant Shares in such amounts as specified from time to time by such Buyer to the Company, and confirmed by the Company, upon the conversion of the Convertible Notes or the exercise of the Warrants (as the case may be). The Company represents and warrants that no instruction other than such irrevocable transfer agent instructions referred to in this Section 5(a),‎ and stop transfer instructions to give effect to Section 2(g)‎ hereof, will be given by the Company to its transfer agent with respect to the Securities, and that the Securities shall otherwise be freely transferable on the books and records of the Company, as applicable, to the extent provided in this Agreement and the</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Transaction Documents. If any Buyer effects a sale, assignment or transfer of the Securities in accordance with Section 2(g),‎ the Company shall permit the transfer and shall promptly instruct its transfer agent to issue one or more certificates or credit shares to the applicable balance accounts at DTC in such name and in such denominations as specified by such Buyer to effect such sale, transfer or assignment. In the event that such sale, assignment or transfer involves Conversion Shares or Warrant Shares sold, assigned or transferred pursuant to an effective registration statement or in compliance with Rule 144 or another exemption from registration, the transfer agent shall issue such shares to such Buyer, assignee or transferee (as the case may be) without any restrictive legend in accordance with Section 5(c)‎ below. The Company acknowledges that a breach by it of its obligations hereunder will cause irreparable harm to each Buyer. Accordingly, the Company acknowledges that the remedy at law for a breach of its obligations under this Section 5(a)will be inadequate and agrees, in the event of a breach or threatened breach by the Company of the provisions of this Section 5(a), that each Buyer shall be entitled, in addition to all other available remedies, to an order and/or injunction restraining any breach and requiring immediate issuance and transfer, without the necessity of showing economic loss and without any bond or other security being required. Any fees (with respect to the transfer agent, counsel to the Company or otherwise) associated with the issuance of such opinion or the removal of any legends on any of the Securities shall be borne by the Company.</w:t>
      </w:r>
    </w:p>
    <w:p>
      <w:pPr>
        <w:spacing w:after="0" w:line="192"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Buyer understands that the Securities have not been (or will not be in the case of the Conversion Shares and Warrant Shares) registered under the 1933 Act, and may not be offered or sold within the United States or to, or for the account or benefit of, U.S. persons except in accordance with Rule 144 or pursuant to another exemption from the registration requirements of the 1933 Act, and except as set forth below, the Securities shall bear a restrictive legend in substantially the following form (and a stop-transfer order may be placed against transfer of such stock certificates):</w:t>
      </w:r>
    </w:p>
    <w:p>
      <w:pPr>
        <w:spacing w:after="0" w:line="180" w:lineRule="exact"/>
        <w:rPr>
          <w:sz w:val="20"/>
          <w:szCs w:val="20"/>
          <w:color w:val="auto"/>
        </w:rPr>
      </w:pPr>
    </w:p>
    <w:p>
      <w:pPr>
        <w:jc w:val="both"/>
        <w:ind w:left="660" w:right="640"/>
        <w:spacing w:after="0" w:line="253" w:lineRule="auto"/>
        <w:rPr>
          <w:sz w:val="20"/>
          <w:szCs w:val="20"/>
          <w:color w:val="auto"/>
        </w:rPr>
      </w:pPr>
      <w:r>
        <w:rPr>
          <w:rFonts w:ascii="Times New Roman" w:cs="Times New Roman" w:eastAsia="Times New Roman" w:hAnsi="Times New Roman"/>
          <w:sz w:val="18"/>
          <w:szCs w:val="18"/>
          <w:color w:val="auto"/>
        </w:rPr>
        <w:t>[NEITHER THE ISSUANCE AND SALE OF THE SECURITIES REPRESENTED BY THIS CERTIFICATE NOR THE SECURITIES INTO WHICH THESE SECURITIES ARE [CONVERTIBLE]/[EXERCISABLE] HAVE BEEN][THE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UNDER SAID ACT. NOTWITHSTANDING THE FOREGOING, THE SECURITIES MAY BE PLEDGED IN CONNECTION WITH A BONA FIDE MARGIN ACCOUNT OR OTHER LOAN OR FINANCING ARRANGEMENT SECURED BY THE SECURITIES.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jc w:val="both"/>
        <w:ind w:firstLine="663"/>
        <w:spacing w:after="0" w:line="252" w:lineRule="auto"/>
        <w:tabs>
          <w:tab w:leader="none" w:pos="9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Certificates evidencing Securities shall not be required to contain the legend set forth in Section 5(b)‎ above or any other legend (i) while a registration statement covering the resale of such Securities is effective under the 1933 Act (provided that each Buyer provides the Company with any certificates from such Buyer or its broker reasonably required by the Company’s transfer agent), (ii) following any sale of such Securities pursuant to Rule 144 (assuming the transferor is not an affiliate of the Company) or a registration statement, (iii) in connection with a sale, assignment or other transfer under Rule 144 (provided that each Buyer provides the Company with reasonable assurances that such Securities are eligible for sale, assignment or transfer under Rule 144, which shall not include an opinion of counsel, but which may include any certificates from such Buyer or its broker reasonably required by the Company’s transfer agent), (iv) in connection with a sale, assignment or other transfer (other than under Rule 144), provided that each Buyer provides the Company with an opinion of counsel to such Buyer from reputable counsel to the effect that such sale, assignment or transfer of the Securities may be made without registration under the applicable requirements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five (5) Trading Days following the delivery by any Buyer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Buyer as may be required above in this Section 5(c),‎ as directed by such Buyer, credit the aggregate number of Ordinary Shares to which each Buyer shall be entitled to such Buyer’s or its designee’s balance account with DTC through its Deposit/Withdrawal at Custodian system.</w:t>
      </w:r>
    </w:p>
    <w:p>
      <w:pPr>
        <w:spacing w:after="0" w:line="195" w:lineRule="exact"/>
        <w:rPr>
          <w:rFonts w:ascii="Times New Roman" w:cs="Times New Roman" w:eastAsia="Times New Roman" w:hAnsi="Times New Roman"/>
          <w:sz w:val="18"/>
          <w:szCs w:val="18"/>
          <w:color w:val="auto"/>
        </w:rPr>
      </w:pPr>
    </w:p>
    <w:p>
      <w:pPr>
        <w:jc w:val="both"/>
        <w:ind w:firstLine="663"/>
        <w:spacing w:after="0" w:line="261" w:lineRule="auto"/>
        <w:tabs>
          <w:tab w:leader="none" w:pos="91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Sale</w:t>
      </w:r>
      <w:r>
        <w:rPr>
          <w:rFonts w:ascii="Times New Roman" w:cs="Times New Roman" w:eastAsia="Times New Roman" w:hAnsi="Times New Roman"/>
          <w:sz w:val="18"/>
          <w:szCs w:val="18"/>
          <w:color w:val="auto"/>
        </w:rPr>
        <w:t>. Each Buyer, severally and not jointly with the other Buyers, agrees with the Company that such Buyer will sell any Securities pursuant to either the registration requirements of the 1933 Act, including any applicable prospectus delivery requirements, or an exemption therefrom, and acknowledges that the removal of the restrictive legend from certificates representing Securities as set forth in this Section 5 is predicated upon the Company’s reliance upon this understanding.</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hereunder to issue and sell the Convertible Notes and Warrants to each Buyer at the applicable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Buyer shall have executed each of the other Transaction Documents to which it is a party and delivered the same to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660" w:firstLine="644"/>
        <w:spacing w:after="0" w:line="282" w:lineRule="auto"/>
        <w:tabs>
          <w:tab w:leader="none" w:pos="1569"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Buyer shall have delivered to the Company the Purchase Price for the Convertible Notes and Warrants being purchased by such Buyer at the Closing by wire transfer of immediately available funds pursuant to the wire instructions provided by the Company.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14"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Buyer shall be true and correct in all material respects as of the date when made and as of the Closing Date as though originally made at that time (except for representations and warranties that speak as of a specific date, which shall be true and correct as of such date), and such Buyer shall have performed, satisfied and complied in all material respects with the covenants, agreements and conditions required by this Agreement to be performed, satisfied or complied with by such Buyer at or prior to the Closing Date.</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BUYERS’ OBLIGATION TO PURCHASE.</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each Buyer hereunder to purchase its Convertible Notes and Warrants at the Closing is subject to the satisfaction, at or before each applicable Closing Date and in respect of each such Closing Date, of each of the following conditions, provided that these conditions are for each Buyer’s sole benefit and may be waived by such Buyer at any time in its sole discretion by providing the Company with prior written notice thereof:</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4"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executed and delivered to each Buyer each of the Transaction Documents to which the Company is a party and the Company shall have duly executed and delivered to such Buyer the Convertible Notes and Warrants as is set forth on the applicable signature page hereto and the Company shall have complied in all material respects with all obligations under this Agreement and the other Transaction Documents, including, without limitation, the Convertible Notes and the Warrants.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9" w:lineRule="auto"/>
        <w:tabs>
          <w:tab w:leader="none" w:pos="1584" w:val="left"/>
        </w:tabs>
        <w:numPr>
          <w:ilvl w:val="2"/>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and every representation and warranty of the Company shall be true and correct in all material respects as of the date when made and as of the Closing Date as though originally made at that time (except for representations and warranties that speak as of a specific date, which shall be true and correct in all material respects as of such date) and the Company shall have performed, satisfied and complied in all material respects with the covenants, agreements and conditions required to be performed, satisfied or complied with by the Company at or prior to the Closing Date. Each Buyer shall have received a certificate, executed by the Chief Executive Officer of the Company, dated as of the Closing</w:t>
      </w:r>
    </w:p>
    <w:p>
      <w:pPr>
        <w:spacing w:after="0" w:line="2"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Date, (i) to the foregoing effect and (ii) verifying the accuracy of Section 7(a)(vi)‎ herein.</w:t>
      </w:r>
    </w:p>
    <w:p>
      <w:pPr>
        <w:spacing w:after="0" w:line="206" w:lineRule="exact"/>
        <w:rPr>
          <w:rFonts w:ascii="Times New Roman" w:cs="Times New Roman" w:eastAsia="Times New Roman" w:hAnsi="Times New Roman"/>
          <w:sz w:val="17"/>
          <w:szCs w:val="17"/>
          <w:color w:val="auto"/>
        </w:rPr>
      </w:pPr>
    </w:p>
    <w:p>
      <w:pPr>
        <w:ind w:left="660" w:firstLine="644"/>
        <w:spacing w:after="0" w:line="282" w:lineRule="auto"/>
        <w:tabs>
          <w:tab w:leader="none" w:pos="1617"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 shall be designated for quotation on the Principal Market; and (B) shall not have been suspended, as of the Closing Date, by the SEC or the Principal Market from trading on the Principal Market.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660" w:firstLine="644"/>
        <w:spacing w:after="0" w:line="282" w:lineRule="auto"/>
        <w:tabs>
          <w:tab w:leader="none" w:pos="160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all governmental, regulatory or third party consents and approvals, if any, necessary for the sale of the Securities, including without limitation, those required by the Principal Market.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 and no actions, suits or proceedings shall be pending by any governmental authority that seeks to enjoin, prohibit or otherwise adversely affect any of the transactions contemplated by the Transaction Documents.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this Agreement, no event or series of events shall have occurred that reasonably would have or result in a Material Adverse Effect and the Company has not filed for nor is it subject to any bankruptcy, insolvency, reorganization or liquidation proceedings or other proceedings for relief under any bankruptcy law or any law for the relief of debtors instituted by or against the Company.</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each Buyer such other documents, instruments or certificates relating to the transactions contemplated by this Agreement reasonably required to consummate the transactions contemplated hereby.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TERMINATION.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Closing shall not have occurred within ten (10) days after the date hereof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then this Agreement shall terminate with respect to the applicable Buyer on the close of business on the Expiration Date without liability to any other party; provided, however, that the right to terminate this Agreement under this Section 8‎ shall not be available to such Buyer if the failure of the transactions contemplated by this Agreement to have been consummated by such date is the result of such Buyer’s breach of this Agreement. Notwithstanding anything to the contrary above, nothing contained in this Section 8‎ shall be deemed to release any party hereto from any liability for any breach by such party of the terms and provisions of this Agreement or the other Transaction Documents or to impair the right of any party hereto to compel specific performance by any other party of its obligations under this Agreement or the other Transaction Documents.</w:t>
      </w:r>
    </w:p>
    <w:p>
      <w:pPr>
        <w:spacing w:after="0" w:line="183" w:lineRule="exact"/>
        <w:rPr>
          <w:sz w:val="20"/>
          <w:szCs w:val="20"/>
          <w:color w:val="auto"/>
        </w:rPr>
      </w:pPr>
    </w:p>
    <w:p>
      <w:pPr>
        <w:ind w:left="180" w:hanging="172"/>
        <w:spacing w:after="0"/>
        <w:tabs>
          <w:tab w:leader="none" w:pos="1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DEFINITIONS</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right="20" w:firstLine="656"/>
        <w:spacing w:after="0" w:line="286" w:lineRule="auto"/>
        <w:tabs>
          <w:tab w:leader="none" w:pos="90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Friday, Saturday, Sunday or other day on which commercial banks in New York, New York or Israel are authorized or required by law to remain closed.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56"/>
        <w:spacing w:after="0" w:line="254" w:lineRule="auto"/>
        <w:tabs>
          <w:tab w:leader="none" w:pos="8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purchase price of property or assets, including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other than trade payables entered into in the ordinary course of business, (C) all reimbursement or payment obligations with respect to letters of credit, surety bonds and other similar instruments, (D) all obligations evidenced by notes, bonds, debentures or similar instruments, (E) all monetary obligations under any leasing or similar arrangement which, in connection with generally accepted accounting principles, consistently applied for the periods covered thereby, is classified as a capital lease, and (F) all indebtedness referred to in clauses (A) through (E) above secured by (or for which the holder of such Indebtedness has an existing right, contingent or otherwise, to be secured by) any Lien upon or in any material property or assets (including accounts and contract rights) owned by such Person, even though the Person has not assumed or become liable for the payment of such indebtedness.</w:t>
      </w:r>
    </w:p>
    <w:p>
      <w:pPr>
        <w:spacing w:after="0" w:line="185" w:lineRule="exact"/>
        <w:rPr>
          <w:rFonts w:ascii="Times New Roman" w:cs="Times New Roman" w:eastAsia="Times New Roman" w:hAnsi="Times New Roman"/>
          <w:sz w:val="18"/>
          <w:szCs w:val="18"/>
          <w:color w:val="auto"/>
        </w:rPr>
      </w:pPr>
    </w:p>
    <w:p>
      <w:pPr>
        <w:jc w:val="both"/>
        <w:ind w:firstLine="656"/>
        <w:spacing w:after="0" w:line="268" w:lineRule="auto"/>
        <w:tabs>
          <w:tab w:leader="none" w:pos="91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mortgage, pledge, encumbrance, charge, security interest, adverse claim, liability, interest, charge, preference, priority, proxy, transfer restriction (other than restrictions under the 1933 Act and state securities laws), encroachment, tax, order, community property interest, equitable interest, option, warrant, right of first refusal, easement, profit, license, servitude, right of way, covenant or zoning restriction.</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91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condition (financial or otherwise) or prospects of the Company and its subsidiaries, taken as a whole, (ii) the transactions contemplated hereby or in any of the other Transaction Documents or (iii) the authority or ability of the Company or any of its subsidiaries to perform any of its respective obligations under any of the Transaction Documents (as defined below).</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88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ordinary shares, no par value per share, of the Company and any other shares issued or issuable with respect thereto (whether by way of a stock dividend or stock split or in exchange for or upon conversion of such shares or otherwise in connection with a combination of shares, distribution, recapitalization, merger, consolidation, other corporate reorganization or other similar event with respect to the Ordinary Shares).</w:t>
      </w:r>
    </w:p>
    <w:p>
      <w:pPr>
        <w:spacing w:after="0" w:line="176" w:lineRule="exact"/>
        <w:rPr>
          <w:rFonts w:ascii="Times New Roman" w:cs="Times New Roman" w:eastAsia="Times New Roman" w:hAnsi="Times New Roman"/>
          <w:sz w:val="18"/>
          <w:szCs w:val="18"/>
          <w:color w:val="auto"/>
        </w:rPr>
      </w:pPr>
    </w:p>
    <w:p>
      <w:pPr>
        <w:ind w:right="20" w:firstLine="656"/>
        <w:spacing w:after="0" w:line="286" w:lineRule="auto"/>
        <w:tabs>
          <w:tab w:leader="none" w:pos="91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91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Global Market; provided however, that in the event the Ordinary Shares are ever listed or traded on the New York Stock Exchange, the NYSE American, the Nasdaq Global Select Market, the Nasdaq Capital Market, then the “Principal Market” shall mean such other market or exchange on which the Ordinary Shares is then listed or traded.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both"/>
        <w:ind w:firstLine="656"/>
        <w:spacing w:after="0" w:line="254" w:lineRule="auto"/>
        <w:tabs>
          <w:tab w:leader="none" w:pos="8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the Conversion Shares, (ii) the Warrant Shares and (iii) any capital stock of the Company issued or issuable with respect to such Conversion Shares and the Warrant Shares, including, without limitation, (1) as a result of any stock split, stock dividend, recapitalization, exchange or similar event or otherwise and (2) shares of capital stock of the Company into which the Ordinary Shares is converted or exchanged, in each case, without regard to any limitations on exercise or exchange of the Convertible Notes or Warrants. As to any Registrable Securities, such securities shall cease to be Registrable Securities when: (a) a registration statement with respect to the sale of such securities shall have become effective under the 1933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1933 Act; or (c) such securities are freely saleable under Rule 144.</w:t>
      </w:r>
    </w:p>
    <w:p>
      <w:pPr>
        <w:spacing w:after="0" w:line="188"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Convertible Notes, the Conversion Shares, the Warrants and the Warrant Shares.</w:t>
      </w:r>
    </w:p>
    <w:p>
      <w:pPr>
        <w:spacing w:after="0" w:line="225" w:lineRule="exact"/>
        <w:rPr>
          <w:rFonts w:ascii="Times New Roman" w:cs="Times New Roman" w:eastAsia="Times New Roman" w:hAnsi="Times New Roman"/>
          <w:sz w:val="18"/>
          <w:szCs w:val="18"/>
          <w:color w:val="auto"/>
        </w:rPr>
      </w:pPr>
    </w:p>
    <w:p>
      <w:pPr>
        <w:jc w:val="both"/>
        <w:ind w:firstLine="656"/>
        <w:spacing w:after="0" w:line="262" w:lineRule="auto"/>
        <w:tabs>
          <w:tab w:leader="none" w:pos="9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 Person, any Person in which that other Person, directly or indirectly, (I) owns any of the outstanding capital stock or holds any equity or similar interest of such Person or (II) controls or operates all or any part of the business, operations or administration of such Person; provided, that a Person shall not be deemed a subsidiary pursuant to clauses (I) or (II) unless the Person, directly or indirectly, owns at least 51% of any of the outstanding capital stock or holds at least 51% of any equity or similar interest of such Person.</w:t>
      </w:r>
    </w:p>
    <w:p>
      <w:pPr>
        <w:spacing w:after="0" w:line="176" w:lineRule="exact"/>
        <w:rPr>
          <w:rFonts w:ascii="Times New Roman" w:cs="Times New Roman" w:eastAsia="Times New Roman" w:hAnsi="Times New Roman"/>
          <w:sz w:val="18"/>
          <w:szCs w:val="18"/>
          <w:color w:val="auto"/>
        </w:rPr>
      </w:pPr>
    </w:p>
    <w:p>
      <w:pPr>
        <w:jc w:val="both"/>
        <w:ind w:firstLine="656"/>
        <w:spacing w:after="0" w:line="256" w:lineRule="auto"/>
        <w:tabs>
          <w:tab w:leader="none" w:pos="8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Ordinary Shares, any day on which the Ordinary Shares is traded on the principal securities exchange or securities market on which the Ordinary Shares is then traded, provided that “Trading Day” shall not include any day on which the Ordinary Shares is scheduled to trade on such exchange or market for less than 4.5 hours or any day that the Ordinary Shares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Ordinary Shares, any day on which The Nasdaq Stock Market (or any successor thereto) is open for trading of securities.</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95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collectively, this Agreement, the Convertible Notes, the Warrants, and each of the other agreements and instruments entered into or delivered by any of the parties hereto in connection with the transactions contemplated hereby and thereby, as may be amended from time to time.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ind w:left="280" w:hanging="272"/>
        <w:spacing w:after="0"/>
        <w:tabs>
          <w:tab w:leader="none" w:pos="2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89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xml:space="preserve">. All questions concerning the construction, validity, enforcement and interpretation of this Agreement and the other Transaction Documents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hereto hereby irrevocably submits to the exclusive jurisdiction of the state and federal courts sitting in The City of New York, Borough of Manhattan, for the adjudication of any dispute hereunder or under any of the other Transaction Documents or in connection herewith or therewith or with any transaction contemplated hereby or thereby or discussed herein or therein,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hereto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Times New Roman" w:cs="Times New Roman" w:eastAsia="Times New Roman" w:hAnsi="Times New Roman"/>
          <w:sz w:val="18"/>
          <w:szCs w:val="18"/>
          <w:b w:val="1"/>
          <w:bCs w:val="1"/>
          <w:color w:val="auto"/>
        </w:rPr>
        <w:t>EACH PARTY HERETO HEREBY IRREVOCABLY</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WAIVES ANY RIGHT IT MAY HAVE TO, AND AGREES NOT TO REQUEST, A JURY TRIAL FOR THE ADJUDICATION OF ANY DISPUTE HEREUNDER OR IN CONNECTION WITH OR ARISING OUT OF THIS AGREEMENT OR ANY TRANSACTION CONTEMPLATED HEREBY.</w:t>
      </w:r>
    </w:p>
    <w:p>
      <w:pPr>
        <w:spacing w:after="0" w:line="18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hereto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hereto as to the subject matter hereof and the prohibited nature, invalidity or unenforceability of the provision(s) in question does not substantially impair the respective expectations or reciprocal obligations of the parties hereto or the practical realization of the benefits that would otherwise be conferred upon the parties hereto. The parties hereto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both"/>
        <w:ind w:firstLine="656"/>
        <w:spacing w:after="0" w:line="252" w:lineRule="auto"/>
        <w:tabs>
          <w:tab w:leader="none" w:pos="89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the other Transaction Documents and the schedules and exhibits attached hereto and thereto and the instruments referenced herein and therein supersede all other prior oral or written agreements between the Buyers, the Company, its affiliates and Persons acting on its behalf solely with respect to the matters contained herein and therein, and this Agreement, the other Transaction Documents, the schedules and exhibits attached hereto and thereto and the instruments referenced herein and therein contain the entire understanding of the parties hereto solely with respect to the matters covered herein and therein.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Buyers who have transferred to the Company a majority of the aggregate Purchase Price hereunder (the “</w:t>
      </w:r>
      <w:r>
        <w:rPr>
          <w:rFonts w:ascii="Times New Roman" w:cs="Times New Roman" w:eastAsia="Times New Roman" w:hAnsi="Times New Roman"/>
          <w:sz w:val="18"/>
          <w:szCs w:val="18"/>
          <w:b w:val="1"/>
          <w:bCs w:val="1"/>
          <w:color w:val="auto"/>
        </w:rPr>
        <w:t>Required Majority</w:t>
      </w:r>
      <w:r>
        <w:rPr>
          <w:rFonts w:ascii="Times New Roman" w:cs="Times New Roman" w:eastAsia="Times New Roman" w:hAnsi="Times New Roman"/>
          <w:sz w:val="18"/>
          <w:szCs w:val="18"/>
          <w:color w:val="auto"/>
        </w:rPr>
        <w:t>”). No waiver shall be effective unless it is in writing and signed by an authorized representative of the waiving party. The Company has not, directly or indirectly, made any agreements with any Buyer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or otherwise. As a material inducement for each Buyer to enter into this Agreement, the Company expressly acknowledges and agrees that no due diligence or other investigation or inquiry conducted by any Buyer, any of its advisors or any of its representatives shall affect such Buyer’s right to rely on, or shall modify or qualify in any manner or be an exception to any of, the Company’s representations and warranties contained in this Agreement or any other Transaction Document.</w:t>
      </w:r>
    </w:p>
    <w:p>
      <w:pPr>
        <w:spacing w:after="0" w:line="195" w:lineRule="exact"/>
        <w:rPr>
          <w:rFonts w:ascii="Times New Roman" w:cs="Times New Roman" w:eastAsia="Times New Roman" w:hAnsi="Times New Roman"/>
          <w:sz w:val="18"/>
          <w:szCs w:val="18"/>
          <w:color w:val="auto"/>
        </w:rPr>
      </w:pPr>
    </w:p>
    <w:p>
      <w:pPr>
        <w:jc w:val="both"/>
        <w:ind w:firstLine="656"/>
        <w:spacing w:after="0" w:line="256" w:lineRule="auto"/>
        <w:tabs>
          <w:tab w:leader="none" w:pos="8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and will be deemed to have been delivered: (i) upon receipt, if delivered personally; (ii)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(iii) if sent by overnight courier service, one (1) Business Day after deposit with an overnight courier service with next day delivery specified, in each case, properly addressed to the party to receive the same. The addresses and e-mail addresses for such communications shall be: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HUB Cyber Security Ltd.</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 Kaplan St.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 Aviv 6473403, Israel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 +972-3-924-4074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Address: Osher Partok Rheinisch, Chief Legal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osher.p.rheinisch@hubsecurity.io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196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Goldfarb, Gross, Seligman &amp; Co.</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One Azrieli Center, Round Building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Tel-Aviv 67021, Israel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Adam M. Klein; Daniel P. Kahn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adam.klein@goldfarb.com; daniel.kahn@goldfarb.com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a Buyer: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See Buyer’s signature page hereto</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to such other address or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or (B) provided by an overnight courier service shall be rebuttable evidence of personal service or receipt from an overnight courier service in accordance with clause (i) or (iii) above, respectively. A copy of the e-mail transmission containing the time, date and recipient e-mail address shall be rebuttable evidence of receipt by e-mail in accordance with clause (ii) above.</w:t>
      </w:r>
    </w:p>
    <w:p>
      <w:pPr>
        <w:spacing w:after="0" w:line="183" w:lineRule="exact"/>
        <w:rPr>
          <w:sz w:val="20"/>
          <w:szCs w:val="20"/>
          <w:color w:val="auto"/>
        </w:rPr>
      </w:pPr>
    </w:p>
    <w:p>
      <w:pPr>
        <w:jc w:val="both"/>
        <w:ind w:firstLine="656"/>
        <w:spacing w:after="0" w:line="261" w:lineRule="auto"/>
        <w:tabs>
          <w:tab w:leader="none" w:pos="9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hereto and its successors and assigns, including, as contemplated below, any assignee of any of the Securities. The Company shall not assign this Agreement or any rights or obligations hereunder without the prior written consent of the Buyers, including, without limitation, by way of a Fundamental Transaction (as defined in the Warrants) (unless the Company is in compliance with the applicable provisions governing Fundamental Transactions set forth in the applicable Warrants).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its permitted successors and assigns, and is not for the benefit of, nor may any provision hereof be enforced by, any other Person, other than the Indemnitees referred to in Section 10(k)‎.</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6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agreements and covenants shall survive the Closing until the applicable statute of limitations. Each Buyer shall be responsible only for its representations, warranties, agreements and covenants 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left="920" w:hanging="264"/>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1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each Buyer’s execution and delivery of the Transaction Documents and acquiring the Securities thereunder and in addition to all of the Company’s other obligations under the Transaction Documents, the Company shall defend, protect, indemnify and hold harmless such Buyer and each holder of any Securities and all of their shareholders,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reasonable and documented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any material (A) misrepresentation or breach of any representation or warranty made by the Company in any of the Transaction Documents, (B) breach of any covenant, agreement or obligation of the Company contained in any of the Transaction Documents or (C) cause of action, suit, proceeding or claim brought or made against such Indemnitee by a third party (including for these purposes a derivative action brought on behalf of the Company, but other than by an affiliate of any Buyer) or which otherwise involves such Indemnitee that arises out of or results from (I) the execution, delivery, performance or enforcement of any of the Transaction Documents, (II) any transaction financed or to be financed in whole or in part, directly or indirectly, with the proceeds of the issuance of the Securities, (III) any disclosure properly made by any Buyer pursuant to Section 4(f),‎ or (IV) the status of any Buyer or holder of the Securities either as an investor in the Company pursuant to the transactions contemplated by the Transaction Documents or as a party to this Agreement, unless such action is based upon a breach of such Buyer’s representations, warranties, or covenants under the Transaction Documents, or any agreements or understandings such Buyer may have with any such third party, or any violations by such Buyer of state or federal securities laws or any conduct by such Buyer which constitutes fraud, gross negligence or willful misconduct.</w:t>
      </w:r>
    </w:p>
    <w:p>
      <w:pPr>
        <w:spacing w:after="0" w:line="193"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59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Indemnitee under this Section 10(k)‎ of notice of the commencement of any action or proceeding (including any governmental action or proceeding) involving an Indemnified Liability, such Indemnitee shall, if a claim in respect thereof is to be made</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the Company under this Section 10(k),‎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such counsel to be paid by the Company if: (i) the Company has agreed in writing to pay such fees and expenses; or (ii) the Company shall have failed promptly to assume the defense of such Indemnified Liability and to employ counsel reasonably satisfactory to such Indemnitee in any such Indemnified Liability.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Following indemnification as provided for hereunder, the Company shall be subrogated to all rights of the Indemnitee with respect to all third parties, firms or corporations relating to the matter for which indemnification has been made.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firstLine="1304"/>
        <w:spacing w:after="0" w:line="282" w:lineRule="auto"/>
        <w:tabs>
          <w:tab w:leader="none" w:pos="161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10(k)‎ shall be made by periodic payments of the amount thereof during the course of the investigation or defense, as and when bills are received or Indemnified Liabilities are incurred.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Agreement or any other Transaction Documents, the aggregate indemnification obligations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this Section 10(k)‎ shall not exceed 100% of the aggregate Purchase Price actually paid by the Buyers.</w:t>
      </w:r>
    </w:p>
    <w:p>
      <w:pPr>
        <w:spacing w:after="0" w:line="20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and exclusive remedy for any breach of any representation, warranty, covenant or agreement hereunder shall be the</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provided by this Section 10(k),‎ and each Buyer expressly waives any other rights or remedies it may have; provided however, that equitable relief, including remedies of specific performance and injunction, shall be available with respect to any matter where money damages would not</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sufficient to compensate any Buyer or to preserve the rights of such Buyer pending resolution of a dispute, and this Section 10(k)‎ shall not relieve the Company from liability for willful misconduct, gross negligence, bad faith, fraud or willful breach of any of its representations, warranties, covenants or agreements set forth in this Agreement.</w:t>
      </w:r>
    </w:p>
    <w:p>
      <w:pPr>
        <w:spacing w:after="0" w:line="185" w:lineRule="exact"/>
        <w:rPr>
          <w:rFonts w:ascii="Times New Roman" w:cs="Times New Roman" w:eastAsia="Times New Roman" w:hAnsi="Times New Roman"/>
          <w:sz w:val="18"/>
          <w:szCs w:val="18"/>
          <w:color w:val="auto"/>
        </w:rPr>
      </w:pPr>
    </w:p>
    <w:p>
      <w:pPr>
        <w:jc w:val="both"/>
        <w:ind w:firstLine="656"/>
        <w:spacing w:after="0" w:line="258" w:lineRule="auto"/>
        <w:tabs>
          <w:tab w:leader="none" w:pos="87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hereto to express their mutual intent, and no rules of strict construction will be applied against any party. No specific representation or warranty shall limit the generality or applicability of a more general representation or warranty. Each and every reference to share prices, Ordinary Shares and any other numbers in this Agreement that relate to the Ordinary Shares shall be automatically adjusted for stock dividends, stock splits, stock combinations and other similar transactions that occur with respect to the Ordinary Shares after the date of this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6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Buyer and each holder of any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the extent permitted by law), to recover damages by reason of any breach of any provision of this Agreement and to exercise all other rights granted by law. Furthermore, the Company recognizes that in the event that it fails to perform, observe, or discharge any or all of its obligations under the Transaction Documents, any remedy at law may prove to be inadequate relief to each Buyer. The Company therefore agrees that each Buyer shall be entitled to seek specific performance and/or temporary, preliminary and permanent injunctive or other equitable relief from any court of competent jurisdiction in any such case without the necessity of proving actual damages and without posting a bond or other security.</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does not timely perform its related obligations within the periods therein provided, then such Buyer may continue to exercise it other rights, elections, demands and options hereunder and under any other Transaction Document from time to time as if such original right, election, demand or option had not been exercised without prejudice to its future actions and rights and remedies.</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Set Aside; Currency</w:t>
      </w:r>
      <w:r>
        <w:rPr>
          <w:rFonts w:ascii="Times New Roman" w:cs="Times New Roman" w:eastAsia="Times New Roman" w:hAnsi="Times New Roman"/>
          <w:sz w:val="18"/>
          <w:szCs w:val="18"/>
          <w:color w:val="auto"/>
        </w:rPr>
        <w:t>. To the extent that the Company makes a payment or payments to such Buyer hereunder or pursuant to any other Transaction Document or any Buyer enforces or exercises its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Agreement, the U.S. Dollar exchange rate as published in the Wall Street Journal on the relevant date of calculation.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of the Buyer, the Company and the Trustee has caused its signature page to this Agreement to be duly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first written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-1905</wp:posOffset>
            </wp:positionV>
            <wp:extent cx="249428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CLAYMORE CAPITAL PTY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-1905</wp:posOffset>
            </wp:positionV>
            <wp:extent cx="249428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of the Buyer, the Company and the Trustee has caused its signature page to this Agreement to be duly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first written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Buyer: 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Buyer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Buyer: 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$_______ The face value (Loan Amount) of the Convertible Notes will be 21% higher than the purchase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$0.70, subject to the terms and conditions of the Convertible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paid by the Buyer divided by $0.70.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Exercise Price per Warrant Share</w:t>
      </w:r>
      <w:r>
        <w:rPr>
          <w:rFonts w:ascii="Times New Roman" w:cs="Times New Roman" w:eastAsia="Times New Roman" w:hAnsi="Times New Roman"/>
          <w:sz w:val="18"/>
          <w:szCs w:val="18"/>
          <w:color w:val="auto"/>
        </w:rPr>
        <w:t>: $1.00, subject to the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ind w:left="10020"/>
        <w:spacing w:after="0"/>
        <w:rPr>
          <w:sz w:val="20"/>
          <w:szCs w:val="20"/>
          <w:color w:val="auto"/>
        </w:rPr>
      </w:pPr>
      <w:r>
        <w:rPr>
          <w:rFonts w:ascii="Times New Roman" w:cs="Times New Roman" w:eastAsia="Times New Roman" w:hAnsi="Times New Roman"/>
          <w:sz w:val="21"/>
          <w:szCs w:val="21"/>
          <w:b w:val="1"/>
          <w:bCs w:val="1"/>
          <w:color w:val="auto"/>
        </w:rPr>
        <w:t>Exhibit 10.43</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NEITHER THE ISSUANCE AND SALE OF THIS CONVERTIBLE NOTE NOR THE SECURITIES ISSUABLE UPON THE CONVERSION HEREOF HAVE BEEN REGISTERED UNDER THE SECURITIES ACT OF 1933 (THE “ACT”),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I44A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w:t>
      </w:r>
      <w:r>
        <w:rPr>
          <w:rFonts w:ascii="Times New Roman" w:cs="Times New Roman" w:eastAsia="Times New Roman" w:hAnsi="Times New Roman"/>
          <w:sz w:val="18"/>
          <w:szCs w:val="18"/>
          <w:b w:val="1"/>
          <w:bCs w:val="1"/>
          <w:u w:val="single" w:color="auto"/>
          <w:color w:val="auto"/>
        </w:rPr>
        <w:t>2(C)(IV)</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8</w:t>
      </w:r>
      <w:r>
        <w:rPr>
          <w:rFonts w:ascii="Times New Roman" w:cs="Times New Roman" w:eastAsia="Times New Roman" w:hAnsi="Times New Roman"/>
          <w:sz w:val="18"/>
          <w:szCs w:val="18"/>
          <w:b w:val="1"/>
          <w:bCs w:val="1"/>
          <w:color w:val="auto"/>
        </w:rPr>
        <w:t xml:space="preserve"> HEREOF. THE LOAN AMOUNT REPRESENTED BY THIS NOTE AND, ACCORDINGLY, THE SECURITIES ISSUABLE UPON CONVERSION HEREOF MAY BE LESS THAN THE AMOUNTS SET FORTH ON THE FACE HEREOF PURSUANT TO SECTION </w:t>
      </w:r>
      <w:r>
        <w:rPr>
          <w:rFonts w:ascii="Times New Roman" w:cs="Times New Roman" w:eastAsia="Times New Roman" w:hAnsi="Times New Roman"/>
          <w:sz w:val="18"/>
          <w:szCs w:val="18"/>
          <w:b w:val="1"/>
          <w:bCs w:val="1"/>
          <w:u w:val="single" w:color="auto"/>
          <w:color w:val="auto"/>
        </w:rPr>
        <w:t>2(C)(IV)</w:t>
      </w:r>
      <w:r>
        <w:rPr>
          <w:rFonts w:ascii="Times New Roman" w:cs="Times New Roman" w:eastAsia="Times New Roman" w:hAnsi="Times New Roman"/>
          <w:sz w:val="18"/>
          <w:szCs w:val="18"/>
          <w:b w:val="1"/>
          <w:bCs w:val="1"/>
          <w:color w:val="auto"/>
        </w:rPr>
        <w:t xml:space="preserve"> OF THIS NOTE.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w:t>
      </w:r>
      <w:r>
        <w:rPr>
          <w:rFonts w:ascii="Times New Roman" w:cs="Times New Roman" w:eastAsia="Times New Roman" w:hAnsi="Times New Roman"/>
          <w:sz w:val="12"/>
          <w:szCs w:val="12"/>
          <w:b w:val="1"/>
          <w:bCs w:val="1"/>
          <w:color w:val="auto"/>
        </w:rPr>
        <w:t>yber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w:t>
      </w:r>
    </w:p>
    <w:p>
      <w:pPr>
        <w:sectPr>
          <w:pgSz w:w="11900" w:h="16838" w:orient="portrait"/>
          <w:cols w:equalWidth="0" w:num="1">
            <w:col w:w="11240"/>
          </w:cols>
          <w:pgMar w:left="320" w:top="108"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Date: August 18, 2024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Principal Amount: U.S. $ ___________</w:t>
      </w:r>
    </w:p>
    <w:p>
      <w:pPr>
        <w:spacing w:after="0" w:line="200" w:lineRule="exact"/>
        <w:rPr>
          <w:sz w:val="20"/>
          <w:szCs w:val="20"/>
          <w:color w:val="auto"/>
        </w:rPr>
      </w:pPr>
    </w:p>
    <w:p>
      <w:pPr>
        <w:sectPr>
          <w:pgSz w:w="11900" w:h="16838" w:orient="portrait"/>
          <w:cols w:equalWidth="0" w:num="2">
            <w:col w:w="7000" w:space="720"/>
            <w:col w:w="3520"/>
          </w:cols>
          <w:pgMar w:left="320" w:top="108" w:right="33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HUB Cyber Security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promises to pay to the order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 or its registered assigns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principal sum set forth above as the Original Principal Amount (as reduced pursuant to the</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terms hereof pursuant to conversion, redemption or otherwise, the “</w:t>
      </w:r>
      <w:r>
        <w:rPr>
          <w:rFonts w:ascii="Times New Roman" w:cs="Times New Roman" w:eastAsia="Times New Roman" w:hAnsi="Times New Roman"/>
          <w:sz w:val="18"/>
          <w:szCs w:val="18"/>
          <w:b w:val="1"/>
          <w:bCs w:val="1"/>
          <w:color w:val="auto"/>
        </w:rPr>
        <w:t>Loan Amount</w:t>
      </w:r>
      <w:r>
        <w:rPr>
          <w:rFonts w:ascii="Times New Roman" w:cs="Times New Roman" w:eastAsia="Times New Roman" w:hAnsi="Times New Roman"/>
          <w:sz w:val="18"/>
          <w:szCs w:val="18"/>
          <w:color w:val="auto"/>
        </w:rPr>
        <w:t>”) from the date set out above as the Issuance Date. This Convertible Note (with all notes issued in exchange, transfer or replacement hereof,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issued pursuant to that certain Securities Purchase Agreement, dated as of August 18, 2024, by and between the Company and the Holder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 Agreement.</w:t>
      </w:r>
    </w:p>
    <w:p>
      <w:pPr>
        <w:spacing w:after="0" w:line="189" w:lineRule="exact"/>
        <w:rPr>
          <w:sz w:val="20"/>
          <w:szCs w:val="20"/>
          <w:color w:val="auto"/>
        </w:rPr>
      </w:pPr>
    </w:p>
    <w:p>
      <w:pPr>
        <w:ind w:left="1160" w:hanging="180"/>
        <w:spacing w:after="0"/>
        <w:tabs>
          <w:tab w:leader="none" w:pos="116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of Loan Amount</w:t>
      </w:r>
      <w:r>
        <w:rPr>
          <w:rFonts w:ascii="Times New Roman" w:cs="Times New Roman" w:eastAsia="Times New Roman" w:hAnsi="Times New Roman"/>
          <w:sz w:val="18"/>
          <w:szCs w:val="18"/>
          <w:color w:val="auto"/>
        </w:rPr>
        <w:t>. The Loan Amount under this Note shall be payable as follows: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Loan Amount shall not accrue interest.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converted into Ordinary Shares, the outstanding Loan Amount will be due and payable by the Company on the second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anniversary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9" w:name="page110"/>
    <w:bookmarkEnd w:id="109"/>
    <w:p>
      <w:pPr>
        <w:ind w:right="20" w:firstLine="1304"/>
        <w:spacing w:after="0" w:line="282" w:lineRule="auto"/>
        <w:tabs>
          <w:tab w:leader="none" w:pos="155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under this Note will be made in lawful money of the United States of America at the principal office of the Company, or at such other place as the Holder may from time to time designate in writing to the Company.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entitled to prepay the Note without the prior written consent of the Holder.</w:t>
      </w:r>
    </w:p>
    <w:p>
      <w:pPr>
        <w:spacing w:after="0" w:line="225" w:lineRule="exact"/>
        <w:rPr>
          <w:rFonts w:ascii="Times New Roman" w:cs="Times New Roman" w:eastAsia="Times New Roman" w:hAnsi="Times New Roman"/>
          <w:sz w:val="18"/>
          <w:szCs w:val="18"/>
          <w:color w:val="auto"/>
        </w:rPr>
      </w:pPr>
    </w:p>
    <w:p>
      <w:pPr>
        <w:ind w:right="20" w:firstLine="980"/>
        <w:spacing w:after="0" w:line="282" w:lineRule="auto"/>
        <w:tabs>
          <w:tab w:leader="none" w:pos="11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This Note shall be convertible into validly issued, fully paid and non-assessable Ordinary Shares on the terms and conditions set forth in this Section 2.</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Subject to the provisions of Section 2(e), at any time or times on or after the Execution Date, the Holder shall be entitled to convert any portion or the entirety of the outstanding Loan Amount into validly issued, fully paid and non-assessable Ordinary Shares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accordance with Section 2(c). Any such portion of the outstanding Loan Amount to be converted in accordance with this Section 2 is 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herein as the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The number of Conversion Shares issuable upon conversion of the Conversion Amount shall be determined according to the following formula: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Conversion Amount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fractional Ordinary Shares are to be issued upon the conversion of this Note. If the issuance would result in the issuance of a fraction of a share, the Company shall round such fraction of a share up to the nearest whole share.</w:t>
      </w:r>
    </w:p>
    <w:p>
      <w:pPr>
        <w:spacing w:after="0" w:line="162" w:lineRule="exact"/>
        <w:rPr>
          <w:sz w:val="20"/>
          <w:szCs w:val="20"/>
          <w:color w:val="auto"/>
        </w:rPr>
      </w:pPr>
    </w:p>
    <w:p>
      <w:pPr>
        <w:ind w:left="1540" w:hanging="236"/>
        <w:spacing w:after="0"/>
        <w:tabs>
          <w:tab w:leader="none" w:pos="1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The conversion shall be conducted in the following manner:</w:t>
      </w:r>
    </w:p>
    <w:p>
      <w:pPr>
        <w:spacing w:after="0" w:line="221" w:lineRule="exact"/>
        <w:rPr>
          <w:rFonts w:ascii="Times New Roman" w:cs="Times New Roman" w:eastAsia="Times New Roman" w:hAnsi="Times New Roman"/>
          <w:sz w:val="18"/>
          <w:szCs w:val="18"/>
          <w:color w:val="auto"/>
        </w:rPr>
      </w:pPr>
    </w:p>
    <w:p>
      <w:pPr>
        <w:jc w:val="both"/>
        <w:ind w:firstLine="1628"/>
        <w:spacing w:after="0" w:line="268" w:lineRule="auto"/>
        <w:tabs>
          <w:tab w:leader="none" w:pos="184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Conversion</w:t>
      </w:r>
      <w:r>
        <w:rPr>
          <w:rFonts w:ascii="Times New Roman" w:cs="Times New Roman" w:eastAsia="Times New Roman" w:hAnsi="Times New Roman"/>
          <w:sz w:val="18"/>
          <w:szCs w:val="18"/>
          <w:color w:val="auto"/>
        </w:rPr>
        <w:t>. To convert all or a portion of this Note into Conversion Shares on any date (a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a Holder shall deliver to the Company (whether via facsimile or otherwise), for receipt on or prior to 11:59 p.m., New York time, on such date, a copy of an executed notice of conversion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w:t>
      </w:r>
    </w:p>
    <w:p>
      <w:pPr>
        <w:spacing w:after="0" w:line="178" w:lineRule="exact"/>
        <w:rPr>
          <w:rFonts w:ascii="Times New Roman" w:cs="Times New Roman" w:eastAsia="Times New Roman" w:hAnsi="Times New Roman"/>
          <w:sz w:val="18"/>
          <w:szCs w:val="18"/>
          <w:color w:val="auto"/>
        </w:rPr>
      </w:pPr>
    </w:p>
    <w:p>
      <w:pPr>
        <w:jc w:val="both"/>
        <w:ind w:firstLine="1628"/>
        <w:spacing w:after="0" w:line="225" w:lineRule="auto"/>
        <w:tabs>
          <w:tab w:leader="none" w:pos="191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Response</w:t>
      </w:r>
      <w:r>
        <w:rPr>
          <w:rFonts w:ascii="Times New Roman" w:cs="Times New Roman" w:eastAsia="Times New Roman" w:hAnsi="Times New Roman"/>
          <w:sz w:val="18"/>
          <w:szCs w:val="18"/>
          <w:color w:val="auto"/>
        </w:rPr>
        <w:t>. Not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Trading Day following the date of receipt of a Conversion Notice, the Company shall transmit by email an acknowledgment of confirmation,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of receipt of such Conversion Notice to such Holder and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which confirmation shall constitute an instruction to the Transfer Agent to process</w:t>
      </w:r>
    </w:p>
    <w:p>
      <w:pPr>
        <w:spacing w:after="0" w:line="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such Conversion Notice in accordance with the terms herein. On or before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Trading Day following the date of receipt by the Company of such Conversion Notice, the Company shall (i)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(which the Company shall cause the Transfer Agent to do at Holder’s request) and provided the legends would be eligible to be removed from such Ordinary Shares pursuant to Section 5(c) of the Securities Purchase Agreement, upon the request of the Holder, credit such aggregate number of Conversion Shares to which the Holder is entitled pursuant to such conversion to the Holder’s or its designee’s balance account with DTC through its Deposit/ Withdrawal at Custodian system, or (ii) if the Transfer Agent is not participating in the DTC Fast Automated Securities Transfer Program or the legends would not be eligible to be removed from such Ordinary Shares pursuant to Section 5(c) of the Securities Purchase Agreement, issue and deliver to the Holder or, at the Holder’s instruction pursuant to the Conversion Notice, the Holder’s agent or designee, in each case, sent to the address as specified in the applicable Conversion Notice, a certificate or book entry position, in the name of the Holder or its designee (as indicated in the applicable Conversion Notice), for the number of Conversion Shares to which the Holder is entitled pursuant to such conversion. Upon delivery of a Conversion Notice, the Holder shall be deemed for all corporate purposes to have become the holder of record of the Conversion Shares with respect to which such Conversion Notice was issued, irrespective of the date such Conversion Shares are credited to the Holder’s DTC account or the date of delivery of the certificates or book entry positions evidencing such Conversion Shares (as the case may be).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628"/>
        <w:spacing w:after="0" w:line="266" w:lineRule="auto"/>
        <w:tabs>
          <w:tab w:leader="none" w:pos="19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Conversion Price or the arithmetic calculation of the number of Conversion Shares to be issued pursuant to the terms hereof, the Company shall promptly issue to the Holder the number of Conversion Shares that are not disputed, provided that following such issuance to Holder such dispute shall be resolved in accordance with Section 19.</w:t>
      </w:r>
    </w:p>
    <w:p>
      <w:pPr>
        <w:spacing w:after="0" w:line="175" w:lineRule="exact"/>
        <w:rPr>
          <w:rFonts w:ascii="Times New Roman" w:cs="Times New Roman" w:eastAsia="Times New Roman" w:hAnsi="Times New Roman"/>
          <w:sz w:val="18"/>
          <w:szCs w:val="18"/>
          <w:color w:val="auto"/>
        </w:rPr>
      </w:pPr>
    </w:p>
    <w:p>
      <w:pPr>
        <w:jc w:val="both"/>
        <w:ind w:firstLine="1628"/>
        <w:spacing w:after="0" w:line="253" w:lineRule="auto"/>
        <w:tabs>
          <w:tab w:leader="none" w:pos="192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in this Section 2, upon conversion of any portion of this Note in accordance with the terms hereof, no Holder thereof shall be required to physically surrender this Note to the Company. If this Note is surrendered as provided by Section 7, then, provided that there remains any outstanding Loan Amount under this Note at the time of surrender, the Company shall, as soon as practicable and in no event later than three (3) Trading Days after receipt of this Note and at its own expense, issue and deliver to such Holder (or its designee) a new Note (in accordance with Section 7(d)) representing the outstanding Loan Amount (if any) under this Note. Each Holder and the Company shall maintain records showing the portion of the Note so converted by such Holder and the dates of such conversions or shall use such other method, reasonably satisfactory to such Holder and the Company, so as not to require physical surrender of the Note upon each such conversion. A Holder and any transferee or assignee, by acceptance of a certificate, acknowledge and agree that, by reason of the provisions of this paragraph, following conversion of any portion of the Note, the outstanding Loan Amount represented by such Note may be less than stated on the face thereof. Each Note shall bear the following legend:</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ANY TRANSFEREE OF THIS NOTE SHOULD CAREFULLY REVIEW THE TERMS OF THIS NOTE, INCLUDING SECTIONS 2(C)(IV) AND 7(A) HEREOF. THE LOAN AMOUNT REPRESENTED BY THIS NOTE AND, ACCORDINGLY, THE SECURITIES ISSUABLE UPON CONVERSION HEREOF MAY BE LESS THAN THE AMOUNTS SET FORTH ON THE FACE HEREOF PURSUANT TO SECTION 2(C)(IV) OF THIS NOTE.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firstLine="1304"/>
        <w:spacing w:after="0" w:line="282" w:lineRule="auto"/>
        <w:tabs>
          <w:tab w:leader="none" w:pos="155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shall be entitled to withhold Israeli tax on any payment of interest or deemed interest, unless provided with an applicable exemption (or approval of reduced tax withholding rate) issued by the Israel Tax Authority.</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8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Beneficial Ownership</w:t>
      </w:r>
      <w:r>
        <w:rPr>
          <w:rFonts w:ascii="Times New Roman" w:cs="Times New Roman" w:eastAsia="Times New Roman" w:hAnsi="Times New Roman"/>
          <w:sz w:val="18"/>
          <w:szCs w:val="18"/>
          <w:color w:val="auto"/>
        </w:rPr>
        <w:t>. Notwithstanding anything to the contrary contained in this Note, this Note shall not be convertible or exchangeable by the Holder hereof to the extent (but only to the extent), after giving effect to the issuance of Ordinary Shares issuable upon such conversion, the Holder or any of its affiliates (either individually or collectively) would beneficially own in excess of 4.99% of the number of Ordinary Shares then outstanding, as calculated in accordance with Section 13(d) of the 1934 Act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To the extent the above limitation applies, the determination of whether this Note shall be convertible or exchangeable (vis-à-vis other convertible, exercisable or exchangeable securities owned by the Holder or any of its affiliates) and of which such securities shall be convertible, exercisable or exchangeable (as among all such securities owned by the Holder) shall, subject to such Maximum Percentage limitation, be determined on the basis of the first submission to the Company for conversion, exercise or exchange (as the case may be). No prior inability to convert or exchange this Note pursuant to this paragraph shall have any effect on the applicability of the provisions of this paragraph with respect to any subsequent determination of convertibility or exchangeability. For the purposes of this paragraph, beneficial ownership and all determinations and calculations (including, without limitation, with respect to calculations of percentage ownership) shall be determined in accordance with Section 13(d) of the 1934 Act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and, in addition, with the intention that Section 328 to the Israeli Companies Law, 1999, shall not apply to any of the transactions contemplated under this Note. The limitations contained in this paragraph shall apply to a successor Holder of this Note. The holders of Ordinary Shares shall be third party beneficiaries of this paragraph and the Company may not waive this paragraph without the consent of holders of a majority of its Ordinary Shares. For any reason at any time, upon the written or oral request of the Holder, the Company shall within two (2) Business Days confirm orally and in writing to the Holder the number of Ordinary Shares then outstanding, including by virtue of any prior conversion or exercise or exchange of convertible or exercisable or exchangeable securities into Ordinary Shares, including, without limitation, pursuant to this Note or securities issued pursuant to the Securities Purchase Agreement.</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Insufficient Authorized Shares</w:t>
      </w:r>
      <w:r>
        <w:rPr>
          <w:rFonts w:ascii="Times New Roman" w:cs="Times New Roman" w:eastAsia="Times New Roman" w:hAnsi="Times New Roman"/>
          <w:sz w:val="18"/>
          <w:szCs w:val="18"/>
          <w:color w:val="auto"/>
        </w:rPr>
        <w:t>. The Company shall initially reserve out of its authorized and unissued Ordinary Shares a number of Ordinary Shares equal to the maximum number of Conversion Shares issuable to satisfy the Company’s obligations to issue Ordinary Shares hereunder, and the Company shall at all times keep reserved for issuance under this Note a number of Ordinary Shares equal to the maximum number of Conversion Shares issuable to satisfy the Company’s obligation to issue Ordinary Shares hereunder.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ind w:left="1160" w:hanging="180"/>
        <w:spacing w:after="0"/>
        <w:tabs>
          <w:tab w:leader="none" w:pos="1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Event of Default; Acceleration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firstLine="1628"/>
        <w:spacing w:after="0" w:line="282" w:lineRule="auto"/>
        <w:tabs>
          <w:tab w:leader="none" w:pos="1855"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maintain sufficient reserves of its authorized and unissued Ordinary Shares to redeem the maximum number of Conversion Shares issuable upon conversion of all the Convertible Notes then outstanding;</w:t>
      </w:r>
    </w:p>
    <w:p>
      <w:pPr>
        <w:spacing w:after="0" w:line="161" w:lineRule="exact"/>
        <w:rPr>
          <w:rFonts w:ascii="Times New Roman" w:cs="Times New Roman" w:eastAsia="Times New Roman" w:hAnsi="Times New Roman"/>
          <w:sz w:val="18"/>
          <w:szCs w:val="18"/>
          <w:color w:val="auto"/>
        </w:rPr>
      </w:pPr>
    </w:p>
    <w:p>
      <w:pPr>
        <w:jc w:val="both"/>
        <w:ind w:firstLine="1628"/>
        <w:spacing w:after="0" w:line="258" w:lineRule="auto"/>
        <w:tabs>
          <w:tab w:leader="none" w:pos="1891"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timely deliver the required number of Ordinary Shares upon conversion of this Note, and any such failure remains uncured for a period of five (5) Business Days, or (B) notice, written or oral, to any holder of the Convertible Notes, including, without limitation, by way of public announcement or through any of its agents, at any time, of its intention not to comply, as required, with a request for conversion of any Convertible Notes into Ordinary Shares that is requested in accordance with the provisions of the Convertible Notes, in each case, other than pursuant to Section 2(e);</w:t>
      </w:r>
    </w:p>
    <w:p>
      <w:pPr>
        <w:spacing w:after="0" w:line="183" w:lineRule="exact"/>
        <w:rPr>
          <w:rFonts w:ascii="Times New Roman" w:cs="Times New Roman" w:eastAsia="Times New Roman" w:hAnsi="Times New Roman"/>
          <w:sz w:val="18"/>
          <w:szCs w:val="18"/>
          <w:color w:val="auto"/>
        </w:rPr>
      </w:pPr>
    </w:p>
    <w:p>
      <w:pPr>
        <w:jc w:val="both"/>
        <w:ind w:firstLine="1628"/>
        <w:spacing w:after="0" w:line="266" w:lineRule="auto"/>
        <w:tabs>
          <w:tab w:leader="none" w:pos="197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remove any restrictive legend on any certificate or any Ordinary Shares issued to the Holder upon conversion or exercise (as the case may be) of the Note as and when required by the Securities Purchase Agreement, unless otherwise then prohibited by applicable federal securities laws, and any such failure remains uncured for a period of five (5) Business Days;</w:t>
      </w:r>
    </w:p>
    <w:p>
      <w:pPr>
        <w:spacing w:after="0" w:line="175" w:lineRule="exact"/>
        <w:rPr>
          <w:rFonts w:ascii="Times New Roman" w:cs="Times New Roman" w:eastAsia="Times New Roman" w:hAnsi="Times New Roman"/>
          <w:sz w:val="18"/>
          <w:szCs w:val="18"/>
          <w:color w:val="auto"/>
        </w:rPr>
      </w:pPr>
    </w:p>
    <w:p>
      <w:pPr>
        <w:jc w:val="both"/>
        <w:ind w:firstLine="1628"/>
        <w:spacing w:after="0" w:line="266" w:lineRule="auto"/>
        <w:tabs>
          <w:tab w:leader="none" w:pos="1926"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or liquidation proceedings or other proceedings for the relief of debtors shall be instituted by or against the Company or any Subsidiary and, if instituted against the Company or any Subsidiary by a third party, which have not been dismissed within sixty (60) days of their initiation;</w:t>
      </w:r>
    </w:p>
    <w:p>
      <w:pPr>
        <w:spacing w:after="0" w:line="175" w:lineRule="exact"/>
        <w:rPr>
          <w:rFonts w:ascii="Times New Roman" w:cs="Times New Roman" w:eastAsia="Times New Roman" w:hAnsi="Times New Roman"/>
          <w:sz w:val="18"/>
          <w:szCs w:val="18"/>
          <w:color w:val="auto"/>
        </w:rPr>
      </w:pPr>
    </w:p>
    <w:p>
      <w:pPr>
        <w:jc w:val="both"/>
        <w:ind w:firstLine="1628"/>
        <w:spacing w:after="0" w:line="253" w:lineRule="auto"/>
        <w:tabs>
          <w:tab w:leader="none" w:pos="1887"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UCC foreclosure sale or any other similar action under federal, state or foreign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1628"/>
        <w:spacing w:after="0" w:line="254" w:lineRule="auto"/>
        <w:tabs>
          <w:tab w:leader="none" w:pos="1927"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(A) a decree, order, judgment or other similar document in respect of the Company or any Subsidiary of a voluntary or involuntary case or proceeding under any applicable federal, state or foreign bankruptcy, insolvency, reorganization or other similar law or (B)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(C)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sixty (60) consecutive days;</w:t>
      </w:r>
    </w:p>
    <w:p>
      <w:pPr>
        <w:spacing w:after="0" w:line="191" w:lineRule="exact"/>
        <w:rPr>
          <w:rFonts w:ascii="Times New Roman" w:cs="Times New Roman" w:eastAsia="Times New Roman" w:hAnsi="Times New Roman"/>
          <w:sz w:val="18"/>
          <w:szCs w:val="18"/>
          <w:color w:val="auto"/>
        </w:rPr>
      </w:pPr>
    </w:p>
    <w:p>
      <w:pPr>
        <w:jc w:val="both"/>
        <w:ind w:firstLine="1628"/>
        <w:spacing w:after="0" w:line="261" w:lineRule="auto"/>
        <w:tabs>
          <w:tab w:leader="none" w:pos="1975"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another clause of this Section 3(a), the Company or any Subsidiary materially breaches any representation or warranty when made, or any covenant or other term or condition of this Note or any other Transaction Document, and, only, in the case of a material breach of a covenant or other term or condition that is curable, if such breach remains uncured for a period of twenty (20) consecutive Trading Days after the delivery by Holder of written notice thereof;</w:t>
      </w:r>
    </w:p>
    <w:p>
      <w:pPr>
        <w:spacing w:after="0" w:line="179" w:lineRule="exact"/>
        <w:rPr>
          <w:rFonts w:ascii="Times New Roman" w:cs="Times New Roman" w:eastAsia="Times New Roman" w:hAnsi="Times New Roman"/>
          <w:sz w:val="18"/>
          <w:szCs w:val="18"/>
          <w:color w:val="auto"/>
        </w:rPr>
      </w:pPr>
    </w:p>
    <w:p>
      <w:pPr>
        <w:jc w:val="both"/>
        <w:ind w:firstLine="1628"/>
        <w:spacing w:after="0" w:line="258" w:lineRule="auto"/>
        <w:tabs>
          <w:tab w:leader="none" w:pos="2044"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Note or any other Transaction Document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Upon the occurrence of an Event of Default and at any time thereafter, Holder may at its option: (a) declare the entire Loan Amount immediately due and payable; and (b) exercise any or all of its rights, powers, or remedies under the Transaction Documents or applicable law or available in equity.</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17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and Number of Conversion Shares</w:t>
      </w:r>
      <w:r>
        <w:rPr>
          <w:rFonts w:ascii="Times New Roman" w:cs="Times New Roman" w:eastAsia="Times New Roman" w:hAnsi="Times New Roman"/>
          <w:sz w:val="18"/>
          <w:szCs w:val="18"/>
          <w:color w:val="auto"/>
        </w:rPr>
        <w:t>. Until the Note has been paid in full or converted in full, the Conversion Price and number of Conversion Shares issuable upon conversion of this Note are subject to adjustment from time to time as set forth in this Section 4.</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Without limiting any provision of Section 6, if the Company, at any time on or after the date of the Securities Purchase Agreement, (i) pays a stock dividend on one or more classes of its then outstanding Ordinary Shares or otherwise makes a distribution on any class of capital stock that is payable in Ordinary Shares, (ii) subdivides (by any stock split, stock dividend, recapitalization or otherwise) one or more classes of its then outstanding Ordinary Shares into a larger number of shares or (iii) combines (by combination, reverse stock split or otherwise) one or more classes of its then outstanding Ordinary Shares into a smaller number of shares, then in each such case the Conversion Price shall be multiplied by a fraction of which the numerator shall be the number of Ordinary Shares outstanding immediately before such event and of which the denominator shall be the number of Ordinary Shares outstanding immediately after such event.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 Conversion Price is calculated hereunder, then the calculation of such Conversion Price shall be adjusted appropriately to reflect such event.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1304"/>
        <w:spacing w:after="0" w:line="225" w:lineRule="auto"/>
        <w:tabs>
          <w:tab w:leader="none" w:pos="155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4 shall be made by rounding to the nearest 1/10000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cent and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applicable. The number of Ordinary Shares outstanding at any given time shall not include shares owned or held by or for the account of the Company, and the disposition of any such shares shall be considered an issue or sale of Ordinary Shares.</w:t>
      </w:r>
    </w:p>
    <w:p>
      <w:pPr>
        <w:spacing w:after="0" w:line="200"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the event that the Company shall take any action to which the provisions hereof are not strictly applicable, or, if applicable, would not operate to protect the Holder from dilution or if any event occurs of the type contemplated by the provisions of this Section 4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and the number of Conversion Shares (if applicable) so as to protect the rights of the Holder, provided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such adjustment pursuant to this Section 4(c) will increase the Conversion Price or decrease the number of Conversion Shares as otherwise determined pursuant to this Section 4,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188" w:lineRule="exact"/>
        <w:rPr>
          <w:rFonts w:ascii="Times New Roman" w:cs="Times New Roman" w:eastAsia="Times New Roman" w:hAnsi="Times New Roman"/>
          <w:sz w:val="18"/>
          <w:szCs w:val="18"/>
          <w:color w:val="auto"/>
        </w:rPr>
      </w:pPr>
    </w:p>
    <w:p>
      <w:pPr>
        <w:jc w:val="both"/>
        <w:ind w:firstLine="980"/>
        <w:spacing w:after="0" w:line="253" w:lineRule="auto"/>
        <w:tabs>
          <w:tab w:leader="none" w:pos="117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4, if the Company shall declare or make any dividend or other distribution of its assets (or rights to acquire its assets) to holders of Ordinary Shares, by way of return of capital or otherwise (including, without limitation, any distribution of cash, stock or other securities, indebtedness, property or options by way of a dividend, spin off, reclassification, corporate rearrangement, scheme of arrangement or other similar transaction, other than a distribution of Ordinary Shares covered by Section 4(a))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Note and until this Note has been paid in full or converted in full, then, in each such case, provision shall be made so that upon conversion of this Note, the Holder shall be entitled to participate in such Distribution to the same extent that the Holder would have participated therein if the Holder had held the number of Ordinary Shares acquirable upon complete conversion of this Note (without regard to any limitations on conversion hereof, including without limitation, the Maximum Percentage) immediately before the date on which a record is taken for such Distribution, or, if no such record is taken, the date as of which the record holders of Ordinary Shares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Ordinary Shares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ind w:left="1140" w:hanging="180"/>
        <w:spacing w:after="0"/>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3" w:lineRule="auto"/>
        <w:tabs>
          <w:tab w:leader="none" w:pos="15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5 herein, if at any time after the issuance of this Note and until this Note has been paid in full or converted in full the Company grants, issues or sells any Options, Convertible Securities or rights to purchase stock, warrants, securities or other property pro rata to the record holders of any class of Ordinary Shares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Ordinary Shares acquirable upon complete conversion of this Note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Maximum Percentage).</w:t>
      </w:r>
    </w:p>
    <w:p>
      <w:pPr>
        <w:spacing w:after="0" w:line="191" w:lineRule="exact"/>
        <w:rPr>
          <w:rFonts w:ascii="Times New Roman" w:cs="Times New Roman" w:eastAsia="Times New Roman" w:hAnsi="Times New Roman"/>
          <w:sz w:val="18"/>
          <w:szCs w:val="18"/>
          <w:color w:val="auto"/>
        </w:rPr>
      </w:pPr>
    </w:p>
    <w:p>
      <w:pPr>
        <w:jc w:val="both"/>
        <w:ind w:left="-20" w:firstLine="1304"/>
        <w:spacing w:after="0" w:line="254" w:lineRule="auto"/>
        <w:tabs>
          <w:tab w:leader="none" w:pos="153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At any time after the issuance of this Note and until this Note has been paid in full or converted in full, upon the consummation of a Fundamental Transaction, the Successor Entity shall deliver to the Holder, in lieu of the Ordinary Shares (or other securities, cash, assets or other property (except such items still issuable under Sections 5 and 6</w:t>
      </w:r>
      <w:r>
        <w:rPr>
          <w:rFonts w:ascii="Times New Roman" w:cs="Times New Roman" w:eastAsia="Times New Roman" w:hAnsi="Times New Roman"/>
          <w:sz w:val="18"/>
          <w:szCs w:val="18"/>
          <w:b w:val="1"/>
          <w:bCs w:val="1"/>
          <w:color w:val="auto"/>
        </w:rPr>
        <w:t>Error! Reference source not found.</w:t>
      </w:r>
      <w:r>
        <w:rPr>
          <w:rFonts w:ascii="Times New Roman" w:cs="Times New Roman" w:eastAsia="Times New Roman" w:hAnsi="Times New Roman"/>
          <w:sz w:val="18"/>
          <w:szCs w:val="18"/>
          <w:color w:val="auto"/>
        </w:rPr>
        <w:t xml:space="preserve"> above, which shall continue to be receivable thereafter)) issuable upon the conversion of this Note prior to the applicable Fundamental Transaction, such Ordinary Shares (or its equivalent) of the Successor Entity (including its Parent Entity), or other securities, cash, assets or other property, which the Holder would have been entitled to receive upon the happening of the applicable Fundamental Transaction had this Note been converted immediately prior to the applicable Fundamental Transaction; provided, however, that such amount of reserved Ordinary Shares shall be limited by the Maximum Percentage of Ordinary Shares.</w:t>
      </w:r>
    </w:p>
    <w:p>
      <w:pPr>
        <w:spacing w:after="0" w:line="191" w:lineRule="exact"/>
        <w:rPr>
          <w:rFonts w:ascii="Times New Roman" w:cs="Times New Roman" w:eastAsia="Times New Roman" w:hAnsi="Times New Roman"/>
          <w:sz w:val="18"/>
          <w:szCs w:val="18"/>
          <w:color w:val="auto"/>
        </w:rPr>
      </w:pPr>
    </w:p>
    <w:p>
      <w:pPr>
        <w:ind w:left="1140" w:hanging="180"/>
        <w:spacing w:after="0"/>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Note.</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5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Note is to be transferred, the Holder shall surrender this Note to the Company, whereupon the Company will forthwith issue and deliver upon the order of the Holder a new Note (in accordance with Section 7(d)), registered as the Holder may request, representing the outstanding Loan Amount being transferred by the Holder and, if less than the entire outstanding Loan Amount is being transferred, a new Note (in accordance with Section 7(d)) to the Holder representing the outstanding Loan Amount not being transferred. The Holder and any assignee, by acceptance of this Note, acknowledge and agree that, by reason of the provisions of Section 2(c)(iv) following conversion or redemption of any portion of this Note, the outstanding Loan Amount represented by this Note may be less than the Loan Amount stated on the face of this Note.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16" w:name="page117"/>
    <w:bookmarkEnd w:id="116"/>
    <w:p>
      <w:pPr>
        <w:jc w:val="both"/>
        <w:ind w:firstLine="1304"/>
        <w:spacing w:after="0" w:line="258" w:lineRule="auto"/>
        <w:tabs>
          <w:tab w:leader="none" w:pos="155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7(d)) representing the outstanding Loan Amount.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7(d) and in Loan Amounts of at least $10,000) representing in the aggregate the outstanding Loan Amount of this Note, and each such new Note will represent such portion of such outstanding Loan Amount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Note</w:t>
      </w:r>
      <w:r>
        <w:rPr>
          <w:rFonts w:ascii="Times New Roman" w:cs="Times New Roman" w:eastAsia="Times New Roman" w:hAnsi="Times New Roman"/>
          <w:sz w:val="18"/>
          <w:szCs w:val="18"/>
          <w:color w:val="auto"/>
        </w:rPr>
        <w:t>. Whenever the Company is required to issue a new Note pursuant to the terms of this Note, such new Note (i) shall be of like tenor with this Note, (ii) shall represent, as indicated on the face of such new Note, the Loan Amount remaining outstanding (or in the case of a new Note being issued pursuant to Section 7(a) or Section 7(c), the Loan Amount designated by the Holder which, when added to the Loan Amount represented by the other new Notes issued in connection with such issuance, does not exceed the Loan Amount remaining outstanding under this Note immediately prior to such issuance of new Notes), (iii) shall have an issuance date, as indicated on the face of such new Note, which is the same as the Execution Date of this Note, and (iv) shall have the same rights and conditions as this Note.</w:t>
      </w:r>
    </w:p>
    <w:p>
      <w:pPr>
        <w:spacing w:after="0" w:line="187" w:lineRule="exact"/>
        <w:rPr>
          <w:rFonts w:ascii="Times New Roman" w:cs="Times New Roman" w:eastAsia="Times New Roman" w:hAnsi="Times New Roman"/>
          <w:sz w:val="18"/>
          <w:szCs w:val="18"/>
          <w:color w:val="auto"/>
        </w:rPr>
      </w:pPr>
    </w:p>
    <w:p>
      <w:pPr>
        <w:ind w:firstLine="980"/>
        <w:spacing w:after="0" w:line="282" w:lineRule="auto"/>
        <w:tabs>
          <w:tab w:leader="none" w:pos="116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shall have no voting rights as the holder of this Note, except as required by law, including but not limited to applicable corporate law of the State of Israel, and as expressly provided in this Note.</w:t>
      </w:r>
    </w:p>
    <w:p>
      <w:pPr>
        <w:spacing w:after="0" w:line="161" w:lineRule="exact"/>
        <w:rPr>
          <w:rFonts w:ascii="Times New Roman" w:cs="Times New Roman" w:eastAsia="Times New Roman" w:hAnsi="Times New Roman"/>
          <w:sz w:val="18"/>
          <w:szCs w:val="18"/>
          <w:color w:val="auto"/>
        </w:rPr>
      </w:pPr>
    </w:p>
    <w:p>
      <w:pPr>
        <w:ind w:left="1160" w:hanging="180"/>
        <w:spacing w:after="0"/>
        <w:tabs>
          <w:tab w:leader="none" w:pos="11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Until this Note has been entirely converted, redeemed or otherwise satisfied in accordance with its terms: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This Note shall be senior in right of payment to all other current and future Indebtedness to which the Company is a party, other than the Senior Indebtedness.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The Company shall not, and the Company shall cause each of its Subsidiaries to not, directly or indirectly, redeem, repurchase or pay any cash dividend or distribution on any of its capital stock (other than dividends by wholly-owned Subsidiaries to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1304"/>
        <w:spacing w:after="0" w:line="261" w:lineRule="auto"/>
        <w:tabs>
          <w:tab w:leader="none" w:pos="155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The Company shall not, and the Company shall cause each of its Subsidiaries to not, directly or indirectly, engage in any material line of business substantially different from those lines of business conducted by the Company and each of its Subsidiaries on the Issuance Date or any business substantially related or incidental thereto. The Company shall not, and the Company shall cause each of its Subsidiaries to not, directly or indirectly, modify its or their corporate structure or purpose.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83" w:lineRule="exact"/>
        <w:rPr>
          <w:rFonts w:ascii="Times New Roman" w:cs="Times New Roman" w:eastAsia="Times New Roman" w:hAnsi="Times New Roman"/>
          <w:sz w:val="18"/>
          <w:szCs w:val="18"/>
          <w:color w:val="auto"/>
        </w:rPr>
      </w:pPr>
    </w:p>
    <w:p>
      <w:pPr>
        <w:jc w:val="both"/>
        <w:ind w:firstLine="980"/>
        <w:spacing w:after="0" w:line="258" w:lineRule="auto"/>
        <w:tabs>
          <w:tab w:leader="none" w:pos="124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The Holder covenants that through and including the first Trading Day following the full conversion or full repayment of this Note, none of the Holder any of its officers, or any entity managed or controlled by the Holder (each of the foregoing, a “</w:t>
      </w:r>
      <w:r>
        <w:rPr>
          <w:rFonts w:ascii="Times New Roman" w:cs="Times New Roman" w:eastAsia="Times New Roman" w:hAnsi="Times New Roman"/>
          <w:sz w:val="18"/>
          <w:szCs w:val="18"/>
          <w:b w:val="1"/>
          <w:bCs w:val="1"/>
          <w:color w:val="auto"/>
        </w:rPr>
        <w:t>Restricted Person</w:t>
      </w:r>
      <w:r>
        <w:rPr>
          <w:rFonts w:ascii="Times New Roman" w:cs="Times New Roman" w:eastAsia="Times New Roman" w:hAnsi="Times New Roman"/>
          <w:sz w:val="18"/>
          <w:szCs w:val="18"/>
          <w:color w:val="auto"/>
        </w:rPr>
        <w:t>”) shall, directly or indirectly, (i) engage in any “short sale” (as such term is defined in Rule 200 of Regulation SHO of the 1934 Act) of the Ordinary Shares or (ii) engage in any hedging transaction, which establishes a net short position with respect to any securities of the Company (including the Ordinary Shares), with respect to each of clauses (i) and (ii) hereof, either for its own principal account or for the principal account of any other Restricted Person.</w:t>
      </w:r>
    </w:p>
    <w:p>
      <w:pPr>
        <w:spacing w:after="0" w:line="183" w:lineRule="exact"/>
        <w:rPr>
          <w:rFonts w:ascii="Times New Roman" w:cs="Times New Roman" w:eastAsia="Times New Roman" w:hAnsi="Times New Roman"/>
          <w:sz w:val="18"/>
          <w:szCs w:val="18"/>
          <w:color w:val="auto"/>
        </w:rPr>
      </w:pPr>
    </w:p>
    <w:p>
      <w:pPr>
        <w:jc w:val="both"/>
        <w:ind w:firstLine="980"/>
        <w:spacing w:after="0" w:line="252" w:lineRule="auto"/>
        <w:tabs>
          <w:tab w:leader="none" w:pos="12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Note shall be cumulative and in addition to all other remedies available under this Note and the other Transaction Documents, at law or in equity (including a decree of specific performance and/or other injunctive relief), and nothing herein shall limit the right of the Holder to pursue actual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Note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Note (including, without limitation, compliance with Section 4 hereof). The issuance of Ordinary Shares and certificates for Ordinary Shares as contemplated hereby upon the conversion of this Note shall be made without charge to the Holder or such Ordinary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980"/>
        <w:spacing w:after="0" w:line="256" w:lineRule="auto"/>
        <w:tabs>
          <w:tab w:leader="none" w:pos="12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(b) there occurs any bankruptcy, reorganization, receivership of the Company or other proceedings affecting Company creditors’ rights and involving a claim under this Note, then the Company or any of its Subsidiaries shall pay the costs incurred by the Holder for such collection, enforcement or action or in connection with such bankruptcy, reorganization, receivership or other proceeding, including, without limitation, attorneys’ fees and disbursements.</w:t>
      </w:r>
    </w:p>
    <w:p>
      <w:pPr>
        <w:spacing w:after="0" w:line="187" w:lineRule="exact"/>
        <w:rPr>
          <w:rFonts w:ascii="Times New Roman" w:cs="Times New Roman" w:eastAsia="Times New Roman" w:hAnsi="Times New Roman"/>
          <w:sz w:val="18"/>
          <w:szCs w:val="18"/>
          <w:color w:val="auto"/>
        </w:rPr>
      </w:pPr>
    </w:p>
    <w:p>
      <w:pPr>
        <w:jc w:val="both"/>
        <w:ind w:firstLine="980"/>
        <w:spacing w:after="0" w:line="254" w:lineRule="auto"/>
        <w:tabs>
          <w:tab w:leader="none" w:pos="12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articles of association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the provisions of this Note and take all action as may be required to protect the rights of the Holder. Without limiting the generality of the foregoing, the Company (i) shall take all such actions as may be necessary or appropriate in order that the Company may validly and legally issue fully paid and non-assessable Ordinary Shares upon the conversion of this Note, and (ii) shall, so long as any of the Loan Amount under this Note remains outstanding, take all action necessary to reserve and keep available out of its authorized and unissued Ordinary Shares, solely for the purpose of effecting the conversion of this Note, the maximum number of Ordinary Shares as shall from time to time be necessary to effect the conversion of this Note.</w:t>
      </w:r>
    </w:p>
    <w:p>
      <w:pPr>
        <w:spacing w:after="0" w:line="19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or Indulgence Not Waiver</w:t>
      </w:r>
      <w:r>
        <w:rPr>
          <w:rFonts w:ascii="Times New Roman" w:cs="Times New Roman" w:eastAsia="Times New Roman" w:hAnsi="Times New Roman"/>
          <w:sz w:val="18"/>
          <w:szCs w:val="18"/>
          <w:color w:val="auto"/>
        </w:rPr>
        <w:t>. No failure or delay on the part of a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left="-20" w:firstLine="980"/>
        <w:spacing w:after="0" w:line="253" w:lineRule="auto"/>
        <w:tabs>
          <w:tab w:leader="none" w:pos="124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Section 10(f) of the Securities Purchase Agreement. The Company shall provide the Holder with prompt written notice of all actions taken pursuant to this Note, including in reasonable detail a description of such action and the reason therefor. Without limiting the generality of the foregoing, the Company will give written notice to the Holder (i) as soon as practicable upon each adjustment of the Conversion Price and the number of Conversion Shares, setting forth in reasonable detail, and certifying, the calculation of such adjustment(s) and (ii) at least fifteen (15) days prior to the date on which the Company closes its books or takes a record (A) with respect to any dividend or distribution upon the Ordinary Shares, (B) with respect to any grants, issuances or sales of any Options, Convertible Securities or rights to purchase stock, warrants, securities, indebtedness, or other property pro rata to holders of Ordinary Shares or (C) for determining rights to vote with respect to any Fundamental Transaction, dissolution or liquidation, provided in each case that such information (to the extent it constitutes, or contains, material, non-public information regarding the Company shall be made known to the public prior to or in conjunction with such notice being provided to the Holder and (iii) at least ten (10) Trading Days prior to the consummation of any Fundamental Transaction. It is expressly understood and agreed that the time of execution specified by the Holder in each Conversion Notice shall be definitive and may not be disputed or challenged by the Company.</w:t>
      </w:r>
    </w:p>
    <w:p>
      <w:pPr>
        <w:spacing w:after="0" w:line="189" w:lineRule="exact"/>
        <w:rPr>
          <w:rFonts w:ascii="Times New Roman" w:cs="Times New Roman" w:eastAsia="Times New Roman" w:hAnsi="Times New Roman"/>
          <w:sz w:val="18"/>
          <w:szCs w:val="18"/>
          <w:color w:val="auto"/>
        </w:rPr>
      </w:pPr>
    </w:p>
    <w:p>
      <w:pPr>
        <w:jc w:val="both"/>
        <w:ind w:left="-20" w:firstLine="980"/>
        <w:spacing w:after="0" w:line="261" w:lineRule="auto"/>
        <w:tabs>
          <w:tab w:leader="none" w:pos="122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wire transfer of immediately available funds by providing the Company with prior written notice setting out the Holder’s wire transfer instructions. Whenever any amount expressed to be due by the terms of this Note is due on any day which is not a Business Day, the same shall instead be due on the next succeeding day which is a Business Day.</w:t>
      </w:r>
    </w:p>
    <w:p>
      <w:pPr>
        <w:spacing w:after="0" w:line="179" w:lineRule="exact"/>
        <w:rPr>
          <w:rFonts w:ascii="Times New Roman" w:cs="Times New Roman" w:eastAsia="Times New Roman" w:hAnsi="Times New Roman"/>
          <w:sz w:val="18"/>
          <w:szCs w:val="18"/>
          <w:color w:val="auto"/>
        </w:rPr>
      </w:pPr>
    </w:p>
    <w:p>
      <w:pPr>
        <w:ind w:left="-20" w:firstLine="980"/>
        <w:spacing w:after="0" w:line="282" w:lineRule="auto"/>
        <w:tabs>
          <w:tab w:leader="none" w:pos="122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Note</w:t>
      </w:r>
      <w:r>
        <w:rPr>
          <w:rFonts w:ascii="Times New Roman" w:cs="Times New Roman" w:eastAsia="Times New Roman" w:hAnsi="Times New Roman"/>
          <w:sz w:val="18"/>
          <w:szCs w:val="18"/>
          <w:color w:val="auto"/>
        </w:rPr>
        <w:t>. A Holder may transfer some or all of this Note, or any shares issuable upon conversion of this Note, without the consent of the Company, subject only to the limitations of Section 2(g) of the Securities Purchase Agreement.</w:t>
      </w:r>
    </w:p>
    <w:p>
      <w:pPr>
        <w:spacing w:after="0" w:line="161" w:lineRule="exact"/>
        <w:rPr>
          <w:rFonts w:ascii="Times New Roman" w:cs="Times New Roman" w:eastAsia="Times New Roman" w:hAnsi="Times New Roman"/>
          <w:sz w:val="18"/>
          <w:szCs w:val="18"/>
          <w:color w:val="auto"/>
        </w:rPr>
      </w:pPr>
    </w:p>
    <w:p>
      <w:pPr>
        <w:jc w:val="both"/>
        <w:ind w:left="-20" w:firstLine="980"/>
        <w:spacing w:after="0" w:line="261" w:lineRule="auto"/>
        <w:tabs>
          <w:tab w:leader="none" w:pos="123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otherwise provided herein, the provisions of this Note may be amended and the Company may take any action herein prohibited, or omit to perform any act herein required to be performed by it, only if the Company has obtained the written consent of the Holdr or the Required Majority. The Holder shall be entitled, at its option, to the benefit of any amendment of any other similar Convertible Note issued by the Company under the Securities Purchase Agreement.</w:t>
      </w:r>
    </w:p>
    <w:p>
      <w:pPr>
        <w:spacing w:after="0" w:line="179" w:lineRule="exact"/>
        <w:rPr>
          <w:rFonts w:ascii="Times New Roman" w:cs="Times New Roman" w:eastAsia="Times New Roman" w:hAnsi="Times New Roman"/>
          <w:sz w:val="18"/>
          <w:szCs w:val="18"/>
          <w:color w:val="auto"/>
        </w:rPr>
      </w:pPr>
    </w:p>
    <w:p>
      <w:pPr>
        <w:ind w:left="1220" w:hanging="260"/>
        <w:spacing w:after="0"/>
        <w:tabs>
          <w:tab w:leader="none" w:pos="12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20" w:name="page121"/>
    <w:bookmarkEnd w:id="120"/>
    <w:p>
      <w:pPr>
        <w:jc w:val="both"/>
        <w:ind w:firstLine="980"/>
        <w:spacing w:after="0" w:line="267" w:lineRule="auto"/>
        <w:tabs>
          <w:tab w:leader="none" w:pos="126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This Note shall be governed by and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Times New Roman" w:cs="Times New Roman" w:eastAsia="Times New Roman" w:hAnsi="Times New Roman"/>
          <w:sz w:val="17"/>
          <w:szCs w:val="17"/>
          <w:b w:val="1"/>
          <w:bCs w:val="1"/>
          <w:color w:val="auto"/>
        </w:rPr>
        <w:t>THE COMPANY HEREBY IRREVOCABLY WAIVES ANY RIGHT IT MAY HAVE TO, AND AGREES NOT TO REQUEST, A JURY</w:t>
      </w:r>
    </w:p>
    <w:p>
      <w:pPr>
        <w:spacing w:after="0" w:line="2"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TRIAL FOR THE ADJUDICATION OF ANY DISPUTE HEREUNDER OR IN CONNECTION WITH OR ARISING OUT OF THIS NOTE OR ANY TRANSACTION CONTEMPLATED HEREBY.</w:t>
      </w:r>
    </w:p>
    <w:p>
      <w:pPr>
        <w:spacing w:after="0" w:line="181" w:lineRule="exact"/>
        <w:rPr>
          <w:rFonts w:ascii="Times New Roman" w:cs="Times New Roman" w:eastAsia="Times New Roman" w:hAnsi="Times New Roman"/>
          <w:sz w:val="17"/>
          <w:szCs w:val="17"/>
          <w:color w:val="auto"/>
        </w:rPr>
      </w:pPr>
    </w:p>
    <w:p>
      <w:pPr>
        <w:ind w:left="1240" w:hanging="260"/>
        <w:spacing w:after="0"/>
        <w:tabs>
          <w:tab w:leader="none" w:pos="12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Note, the following terms shall have the following meanings: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(without limiting the terms of the Transaction Documents), the lower of (i) $0.70 and (ii) the price paid (or the deemed/effective price paid or payable) by an investor in any capital raising or financing transaction following the Execution Date pursuant to which the Company (whether through one agreement or a series of agreements) raises additional funding through the issue of any securities or any derivative form, including the issue additional capital stock or options, warrants, scrip, rights to subscribe to, calls or commitments of any character whatsoever relating to, or securities or rights convertible into, or exercisable or exchangeable for, any capital stock of the Company, but not including any issuances pursuant to acquisitions, joint ventures, license arrangements, leasing arrangements and similar transaction arrangements or issuances made pursuant to an equity incentive plan of the Company; provided, however, that in no event shall the Conversion Price be lower than $0.50.</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shall have the meaning set forth in the Securities Purchase Agreement.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(i) the Company shall, directly or indirectly, in one or more related transactions, (1) consolidate or merge with or into (whether or not the Company is the surviving entity) any other Person unless the shareholders of the Company immediately prior to such consolidation or merger continue to hold more than 50% of the outstanding shares of Voting Stock after such consolidation or merger, or (2) sell, lease, license, assign, transfer, convey or otherwise dispose of all or substantially all of its properties or assets to any other Person, in connection with which the Company is dissolved,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135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mortgage, pledge, encumbrance, charge, security interest, adverse claim, liability, interest, charge, preference, priority, proxy, transfer restriction (other than restrictions under the federal and state securities laws), encroachment, tax, order, community property interest, equitable interest, option, warrant, right of first refusal, easement, profit, license, servitude, right of way, covenant or zoning restriction.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Ordinary Shares or Convertible Securities.</w:t>
      </w:r>
    </w:p>
    <w:p>
      <w:pPr>
        <w:spacing w:after="0" w:line="225" w:lineRule="exact"/>
        <w:rPr>
          <w:sz w:val="20"/>
          <w:szCs w:val="20"/>
          <w:color w:val="auto"/>
        </w:rPr>
      </w:pPr>
    </w:p>
    <w:p>
      <w:pPr>
        <w:jc w:val="both"/>
        <w:ind w:firstLine="135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ordinary shares, no par value per share, of the Company and any other shares issued or issuable with respect thereto (whether by way of a stock dividend or stock split or in exchange for or upon conversion of such shares or otherwise in connection with a combination of shares, distribution, recapitalization, merger, consolidation, other corporate reorganization or other similar event with respect to the Ordinary Shares).</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the successor thereto.</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by and among the Company and the Holder, dated as of the Execution Date, as may be amended from time to time in accordance with the terms thereof.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Indebtedness</w:t>
      </w:r>
      <w:r>
        <w:rPr>
          <w:rFonts w:ascii="Times New Roman" w:cs="Times New Roman" w:eastAsia="Times New Roman" w:hAnsi="Times New Roman"/>
          <w:sz w:val="18"/>
          <w:szCs w:val="18"/>
          <w:color w:val="auto"/>
        </w:rPr>
        <w:t>” means any Indebtedness of the Company or its Subsidiaries incurred prior to the Execution Date, including Indebtedness that is secured by any Lien on any assets of the Company or any of its Subsidiaries, including under any bank or seller-backed financing secured by real or personal property.</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Ordinary Shares, any day on which the Ordinary Shares is traded on the principal securities exchange or securities market on which the Ordinary Shares is then traded, provided that “Trading Day” shall not include any day on which the Ordinary Shares is scheduled to trade on such exchange or market for less than 4.5 hours or any day that the Ordinary Shares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Ordinary Shares, any day on which The Nasdaq Stock Market (or any successor thereto) is open for trading of securities.</w:t>
      </w:r>
    </w:p>
    <w:p>
      <w:pPr>
        <w:spacing w:after="0" w:line="18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Holder and the Company have caused their respective signature page to this Convertible Note to be duly executed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ind w:left="56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294005</wp:posOffset>
            </wp:positionV>
            <wp:extent cx="284607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Reference is made to that certain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by HUB Cyber Security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the undersigned Holder on __________________. Capitalized terms used herein and not otherwise defined shall have the respective meanings set forth in the Note.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convert the portion of the Note indicated below into Ordinary Shares as of the date specified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28028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Loan Amount to be Converted:</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-127635</wp:posOffset>
            </wp:positionV>
            <wp:extent cx="228028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Number of Ordinary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26035</wp:posOffset>
            </wp:positionV>
            <wp:extent cx="228028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9">
                      <a:extLst>
                        <a:ext uri="{28A0092B-C50C-407E-A947-70E740481C1C}"/>
                      </a:extLst>
                    </a:blip>
                    <a:srcRect/>
                    <a:stretch>
                      <a:fillRect/>
                    </a:stretch>
                  </pic:blipFill>
                  <pic:spPr bwMode="auto">
                    <a:xfrm>
                      <a:off x="0" y="0"/>
                      <a:ext cx="2280285" cy="171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-127635</wp:posOffset>
            </wp:positionV>
            <wp:extent cx="228028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0">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issue the Ordinary Shares into which the Note is being converted in the following name and to the following address: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24942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22860</wp:posOffset>
            </wp:positionV>
            <wp:extent cx="24942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8890</wp:posOffset>
            </wp:positionV>
            <wp:extent cx="249428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-1905</wp:posOffset>
            </wp:positionV>
            <wp:extent cx="24942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-1905</wp:posOffset>
            </wp:positionV>
            <wp:extent cx="249428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5"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HUB Cyber Security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acknowledges its receipt of the enclosed Conversion Notice and hereby directs [______________] to issue the above indicated number of Ordinary Shares in accordance with the Irrevocable Transfer Agent Instructions 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 __, 20__] from the Company and acknowledged and agreed to by [______________].</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26035</wp:posOffset>
            </wp:positionV>
            <wp:extent cx="241744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8">
                      <a:extLst>
                        <a:ext uri="{28A0092B-C50C-407E-A947-70E740481C1C}"/>
                      </a:extLst>
                    </a:blip>
                    <a:srcRect/>
                    <a:stretch>
                      <a:fillRect/>
                    </a:stretch>
                  </pic:blipFill>
                  <pic:spPr bwMode="auto">
                    <a:xfrm>
                      <a:off x="0" y="0"/>
                      <a:ext cx="2417445" cy="171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-127635</wp:posOffset>
            </wp:positionV>
            <wp:extent cx="241744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9">
                      <a:extLst>
                        <a:ext uri="{28A0092B-C50C-407E-A947-70E740481C1C}"/>
                      </a:extLst>
                    </a:blip>
                    <a:srcRect/>
                    <a:stretch>
                      <a:fillRect/>
                    </a:stretch>
                  </pic:blipFill>
                  <pic:spPr bwMode="auto">
                    <a:xfrm>
                      <a:off x="0" y="0"/>
                      <a:ext cx="24174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FROM REPUTABLE COUNSEL,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rdinary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August 18, 2024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HUB Cyber Security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__________________,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terms set forth below, to purchase from the Company, at the Exercise Price (as defined below) then in effect, upon exercise of this Warrant to Purchase Ordinary Shares (including any Warrants to Purchase Ordinary Shares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Issuance Date, but not after 11:59 p.m., New York time, on the Expiration Date (as defined below), [_______] (subject to adjustment as provided herein), fully paid and non-assessable Ordinary Shares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Warrant is one of the Warrants to purchase Ordinary Shares (the “</w:t>
      </w:r>
      <w:r>
        <w:rPr>
          <w:rFonts w:ascii="Times New Roman" w:cs="Times New Roman" w:eastAsia="Times New Roman" w:hAnsi="Times New Roman"/>
          <w:sz w:val="18"/>
          <w:szCs w:val="18"/>
          <w:b w:val="1"/>
          <w:bCs w:val="1"/>
          <w:color w:val="auto"/>
        </w:rPr>
        <w:t>SPA Warrants</w:t>
      </w:r>
      <w:r>
        <w:rPr>
          <w:rFonts w:ascii="Times New Roman" w:cs="Times New Roman" w:eastAsia="Times New Roman" w:hAnsi="Times New Roman"/>
          <w:sz w:val="18"/>
          <w:szCs w:val="18"/>
          <w:color w:val="auto"/>
        </w:rPr>
        <w:t>”) issued to Holder pursuant to that certain Securities Purchase Agreement, dated as of August 28, 2024, by and among the Company and the investor(s) referred to therein (the “</w:t>
      </w:r>
      <w:r>
        <w:rPr>
          <w:rFonts w:ascii="Times New Roman" w:cs="Times New Roman" w:eastAsia="Times New Roman" w:hAnsi="Times New Roman"/>
          <w:sz w:val="18"/>
          <w:szCs w:val="18"/>
          <w:b w:val="1"/>
          <w:bCs w:val="1"/>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ind w:left="180" w:hanging="172"/>
        <w:spacing w:after="0"/>
        <w:tabs>
          <w:tab w:leader="none" w:pos="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1‎(c)),‎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in cash or via wire transfer of immediately available funds.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w:t>
      </w:r>
    </w:p>
    <w:p>
      <w:pPr>
        <w:spacing w:after="0" w:line="6"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as cancellation of the original of this Warrant certificate after delivery of the Warrant Shares in accordance with the terms hereof. On or before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Trading Day following the date on which the Company has received an Exercise Notice, the Company shall transmit by email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On or before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on which the Company has received such Exercise Notice, the Company shall,</w:t>
      </w:r>
    </w:p>
    <w:p>
      <w:pPr>
        <w:spacing w:after="0" w:line="1" w:lineRule="exact"/>
        <w:rPr>
          <w:sz w:val="20"/>
          <w:szCs w:val="20"/>
          <w:color w:val="auto"/>
        </w:rPr>
      </w:pPr>
    </w:p>
    <w:p>
      <w:pPr>
        <w:jc w:val="both"/>
        <w:ind w:firstLine="8"/>
        <w:spacing w:after="0" w:line="250" w:lineRule="auto"/>
        <w:tabs>
          <w:tab w:leader="none" w:pos="2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cause the Transfer Agent to do at Holder’s request) and provided the legends would be eligible to be removed from such Ordinary Shares pursuant to Section 5(c) of the Securities Purchase Agreement, upon the request of the Holder, credit such aggregate number of Ordinary Shares to which the Holder is entitled pursuant to such exercise to the Holder’s or its designee’s balance account with DTC through its Deposit/ Withdrawal at Custodian system, or (ii) if the Transfer Agent is not participating in the DTC Fast Automated Securities Transfer Program or the legends would not be eligible to be removed from such Ordinary Shares pursuant to Section 5(c) of the Securities Purchase Agreement, issue and deliver to the Holder or, at the Holder’s instruction pursuant to the Exercise Notice, the Holder’s agent or designee, in each case, sent to the address as specified in the applicable Exercise Notice, a certificate or book entry position, in the name of the Holder or its designee (as indicated in the applicable Exercise Notice), for the number of Ordinary Shares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or book entry positions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and upon surrender hereof by the Holder at the principal office of the Company, the Company shall as soon as practicable and in no event later than three (3) Business Days after any exercise and at its own expense, issue and deliver to the Holder (or its designee) a new Warrant (in accordance with</w:t>
      </w:r>
    </w:p>
    <w:p>
      <w:pPr>
        <w:spacing w:after="0" w:line="4"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7(d))‎ representing the right to purchase the number of Warrant Shares purchasable immediately prior to such exercise under this Warrant, less the number of Warrant Shares with respect to which this Warrant is exercised. No fractional Ordinary Shares are to be issued upon the exercise of this Warrant, but rather the number of Ordinary Shares to be issued shall be rounded up to the nearest whole number. The Company shall pay any and all taxes and fees which may be payable with respect to the issuance and delivery of Warrant Shares upon exercise of this Warrant.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656"/>
        <w:spacing w:after="0" w:line="262" w:lineRule="auto"/>
        <w:tabs>
          <w:tab w:leader="none" w:pos="90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$1.00 per Warrant Share, provided that in the event the Conversion Price under the Convertible Note is reduced below $0.70 per Ordinary Share, then the Exercise Price shall be proportionately reduced in relation to the Conversion Price (e.g., if the Conversion Price is reduced to $0.65, then the Exercise Price will be reduced to $0.93 per Warrant Share), subject to adjustment as provided herein.</w:t>
      </w:r>
    </w:p>
    <w:p>
      <w:pPr>
        <w:spacing w:after="0" w:line="180" w:lineRule="exact"/>
        <w:rPr>
          <w:rFonts w:ascii="Times New Roman" w:cs="Times New Roman" w:eastAsia="Times New Roman" w:hAnsi="Times New Roman"/>
          <w:sz w:val="18"/>
          <w:szCs w:val="18"/>
          <w:color w:val="auto"/>
        </w:rPr>
      </w:pPr>
    </w:p>
    <w:p>
      <w:pPr>
        <w:jc w:val="both"/>
        <w:ind w:firstLine="656"/>
        <w:spacing w:after="0" w:line="252" w:lineRule="auto"/>
        <w:tabs>
          <w:tab w:leader="none" w:pos="9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 and Exchanges</w:t>
      </w:r>
      <w:r>
        <w:rPr>
          <w:rFonts w:ascii="Times New Roman" w:cs="Times New Roman" w:eastAsia="Times New Roman" w:hAnsi="Times New Roman"/>
          <w:sz w:val="18"/>
          <w:szCs w:val="18"/>
          <w:color w:val="auto"/>
        </w:rPr>
        <w:t>. Notwithstanding anything to the contrary contained in this Warrant, this Warrant shall not be exercisable or exchangeable by the Holder hereof to the extent (but only to the extent) that the Holder or any of its affiliates (either individually or collectively) would beneficially own in excess of 4.99% of the number of Ordinary Shares outstanding after giving effect to the issuance of Ordinary Shares issuable upon exercise of the Warrants calculated in accordance with Section 13(d) of the 1934 Act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To the extent the above limitation applies, the determination of whether this Warrant shall be exercisable or exchangeable (vis-à-vis other convertible, exercisable or exchangeable securities owned by the Holder or any of its affiliates) and of which such securities shall be exercisable or exchangeable (as among all such securities owned by the Holder) shall, subject to such Maximum Percentage limitation, be determined on the basis of the first submission to the Company for conversion, exercise or exchange (as the case may be). No prior inability to exercise or exchange this Warrant pursuant to this paragraph shall have any effect on the applicability of the provisions of this paragraph with respect to any subsequent determination of exercisability or exchangeability.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and, in addition, with the intention that Section 328 to the Israeli Companies Law, 1999, shall not apply to any of the transactions contemplated under this Warrant. The limitations contained in this paragraph shall apply to a successor Holder of this Warrant. The holders of Ordinary Shares shall be third party beneficiaries of this paragraph and the Company may not waive this paragraph without the consent of holders of a majority of its Ordinary Shares. For any reason at any time, upon the written or oral request of the Holder, the Company shall within two (2) Business Days confirm orally and in writing to the Holder the number of Ordinary Shares then outstanding, including by virtue of any prior conversion or exercise or exchange of convertible or exercisable or exchangeable securities into Ordinary Shares, including, without limitation, pursuant to this Warrant or securities issued pursuant to the Securities Purchase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Insufficient Authorized Shares</w:t>
      </w:r>
      <w:r>
        <w:rPr>
          <w:rFonts w:ascii="Times New Roman" w:cs="Times New Roman" w:eastAsia="Times New Roman" w:hAnsi="Times New Roman"/>
          <w:sz w:val="18"/>
          <w:szCs w:val="18"/>
          <w:color w:val="auto"/>
        </w:rPr>
        <w:t>. The Company shall initially reserve out of its authorized and unissued Ordinary Shares a number of Ordinary Shares equal to the maximum number of Warrant Shares issuable to satisfy the Company’s obligations to issue Ordinary Shares hereunder, and the Company shall at all times keep reserved for issuance under this Warrant a number of Ordinary Shares equal to the maximum number of Warrant Shares issuable to satisfy the Company’s obligation to issue Ordinary Shares hereunder.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both"/>
        <w:ind w:firstLine="656"/>
        <w:spacing w:after="0" w:line="255" w:lineRule="auto"/>
        <w:tabs>
          <w:tab w:leader="none" w:pos="89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Activity Restrictions</w:t>
      </w:r>
      <w:r>
        <w:rPr>
          <w:rFonts w:ascii="Times New Roman" w:cs="Times New Roman" w:eastAsia="Times New Roman" w:hAnsi="Times New Roman"/>
          <w:sz w:val="18"/>
          <w:szCs w:val="18"/>
          <w:color w:val="auto"/>
        </w:rPr>
        <w:t>. For so long as Holder holds this Warrant or any Warrant Shares, Holder will not: (i) engage or participate in any actions, plans or proposals which relate to or would result in (a) acquiring additional securities of the Company, alone or together with any other Person, which would result in beneficially owning or controlling, or being deemed to beneficially own or control, more than 9.9% of the total outstanding Ordinary Shares or other voting securities of the Company, (b) an extraordinary corporate transaction, such as a merger, reorganization or liquidation, involving Company,</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sale or transfer of a material amount of assets of the Company, (d) any change in the present board of directors or management of the Company, including any plans or proposals to change the number or term of directors or to fill any existing vacancies on the board, (e) any material change in the present capitalization or dividend policy of the Company, (f) any other material change in the Company’s business or corporate structure, including but not limited to, if the Company is a registered closed-end investment company, any plans or proposals to make any changes in its investment policy for which a vote is required by Section 13 of the Investment Company Act of 1940, (g) changes in the Company’s charter, bylaws or instruments corresponding thereto or other actions which may impede the acquisition of control of the Company by any Person, (h) causing a class of securities of the Company to be delisted from a national securities exchange or to cease to be authorized to be quoted in an inter-dealer quotation system of a registered national securities association, (i) a class of equity securities of the Company becoming eligible for termination of registration pursuant to Section 12(g)(4) of the Act, or (j) any action, intention, plan or arrangement similar to any of those enumerated above, or (ii) request the Company or its directors, officers, employees, agents or representatives to amend or waive any provision of this Section 1‎(e);‎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contain in clauses (i) and (ii) above, Holder may vote any Ordinary Shares owned or controlled by it, solicit any proxies, or seek to advise or influence any Person with respect to any voting securities of the Company. Holder may only exercise this Warrant for a cash exercise price if the trading price at the time of exercise is greater than the then applicable Exercise Price.</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87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The Holder covenants that through and including the first Trading Day following the full exercise or expiration of this Warrant, none of the Holder any of its officers, or any entity managed or controlled by the Holder (each of the foregoing, a “</w:t>
      </w:r>
      <w:r>
        <w:rPr>
          <w:rFonts w:ascii="Times New Roman" w:cs="Times New Roman" w:eastAsia="Times New Roman" w:hAnsi="Times New Roman"/>
          <w:sz w:val="18"/>
          <w:szCs w:val="18"/>
          <w:b w:val="1"/>
          <w:bCs w:val="1"/>
          <w:color w:val="auto"/>
        </w:rPr>
        <w:t>Restricted Person</w:t>
      </w:r>
      <w:r>
        <w:rPr>
          <w:rFonts w:ascii="Times New Roman" w:cs="Times New Roman" w:eastAsia="Times New Roman" w:hAnsi="Times New Roman"/>
          <w:sz w:val="18"/>
          <w:szCs w:val="18"/>
          <w:color w:val="auto"/>
        </w:rPr>
        <w:t>”) shall, directly or indirectly, (i) engage in any “short sale” (as such term is defined in Rule 200 of Regulation SHO of the 1934 Act) of the Ordinary Shares or (ii) engage in any hedging transaction, which establishes a net short position with respect to any securities of the Company (including the Ordinary Shares), with respect to each of clauses (i) and (ii) hereof, either for its own principal account or for the principal account of any other Restricted Person.</w:t>
      </w:r>
    </w:p>
    <w:p>
      <w:pPr>
        <w:spacing w:after="0" w:line="183" w:lineRule="exact"/>
        <w:rPr>
          <w:sz w:val="20"/>
          <w:szCs w:val="20"/>
          <w:color w:val="auto"/>
        </w:rPr>
      </w:pPr>
    </w:p>
    <w:p>
      <w:pPr>
        <w:ind w:firstLine="8"/>
        <w:spacing w:after="0" w:line="282" w:lineRule="auto"/>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During such time as this Warrant is outstanding, the Exercise Price and number of Warrant Shares issuable upon exercise of this Warrant are subject to adjustment from time to time as set forth in this Section 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56"/>
        <w:spacing w:after="0" w:line="253" w:lineRule="auto"/>
        <w:tabs>
          <w:tab w:leader="none" w:pos="90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Without limiting any provision of Section 4,‎ if the Company, at any time on or after the date of the Securities Purchase Agreement, (i) pays a stock dividend on one or more classes of its then outstanding Ordinary Shares or otherwise makes a distribution on any class of capital stock that is payable in Ordinary Shares, (ii) subdivides (by any stock split, stock dividend, recapitalization or otherwise) one or more classes of its then outstanding Ordinary Shares into a larger number of shares or (iii) combines (by combination, reverse stock split or otherwise) one or more classes of its then outstanding Ordinary Shares into a smaller number of shares, then in each such case the Exercise Price shall be multiplied by a fraction of which the numerator shall be the number of Ordinary Shares outstanding immediately before such event and of which the denominator shall be the number of Ordinary Shares outstanding immediately after such event.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paragraph (a) of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25" w:lineRule="auto"/>
        <w:tabs>
          <w:tab w:leader="none" w:pos="89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cent and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applicable. The number of Ordinary Shares outstanding at any given time shall not include shares owned or held by or for the account of the Company, and the disposition of any such shares shall be considered an issue or sale of Ordinary Shares.</w:t>
      </w:r>
    </w:p>
    <w:p>
      <w:pPr>
        <w:spacing w:after="0" w:line="200" w:lineRule="exact"/>
        <w:rPr>
          <w:rFonts w:ascii="Times New Roman" w:cs="Times New Roman" w:eastAsia="Times New Roman" w:hAnsi="Times New Roman"/>
          <w:sz w:val="18"/>
          <w:szCs w:val="18"/>
          <w:color w:val="auto"/>
        </w:rPr>
      </w:pPr>
    </w:p>
    <w:p>
      <w:pPr>
        <w:jc w:val="both"/>
        <w:ind w:firstLine="8"/>
        <w:spacing w:after="0" w:line="255" w:lineRule="auto"/>
        <w:tabs>
          <w:tab w:leader="none" w:pos="19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during such time as this Warrant is outstanding, the Company shall declare or make any dividend or other distribution of its assets (or rights to acquire its assets) to holders of Ordinary Shares, by way of return of capital or otherwise (including, without limitation, any distribution of cash, stock or other securities, indebtedness, property or options by way of a dividend, spin off, reclassification, corporate rearrangement, scheme of arrangement or other similar transaction, other than a</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Ordinary Shares covered by Section 2(a))‎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provision shall be made so that upon exercise of this Warrant,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Ordinary Shares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Ordinary Shares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ind w:left="180" w:hanging="172"/>
        <w:spacing w:after="0"/>
        <w:tabs>
          <w:tab w:leader="none" w:pos="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2‎ above, if at during such time as this Warrant is outstanding the Company grants, issues or sells any Options, Convertible Securities or rights to purchase stock, warrants, securities or other property pro rata to the record holders of any class of Ordinary Shares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Maximum Percentage).</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3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During such time as this Warrant is outstanding, upon the consummation of a Fundamental Transaction, the Successor Entity shall deliver to the Holder, in lieu of the Ordinary Shares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or other securities, cash, assets or other property (together, the “</w:t>
      </w:r>
      <w:r>
        <w:rPr>
          <w:rFonts w:ascii="Times New Roman" w:cs="Times New Roman" w:eastAsia="Times New Roman" w:hAnsi="Times New Roman"/>
          <w:sz w:val="18"/>
          <w:szCs w:val="18"/>
          <w:b w:val="1"/>
          <w:bCs w:val="1"/>
          <w:color w:val="auto"/>
        </w:rPr>
        <w:t>Fundamental Transaction Consideration</w:t>
      </w:r>
      <w:r>
        <w:rPr>
          <w:rFonts w:ascii="Times New Roman" w:cs="Times New Roman" w:eastAsia="Times New Roman" w:hAnsi="Times New Roman"/>
          <w:sz w:val="18"/>
          <w:szCs w:val="18"/>
          <w:color w:val="auto"/>
        </w:rPr>
        <w:t>”), which the Holder would have been entitled to receive upon the closing of the applicable Fundamental Transaction had this Warrant been exercised immediately prior to the applicable Fundamental Transaction (net of the exercise price at the closing of the applicable Fundamental Transaction); provided, however, that such amount of reserved Ordinary Shares shall be limited by the Maximum Percentage of Ordinary Shares as set forth in Section 1(c)‎.</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shall be applied as if this Warrant (and any such subsequent warrants issued hereunder)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8"/>
        <w:spacing w:after="0" w:line="253" w:lineRule="auto"/>
        <w:tabs>
          <w:tab w:leader="none" w:pos="19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During such time as this Warrant is outstanding, the Company hereby covenants and agrees that the Company will not, by amendment of its articles of association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Ordinary Shares receivable upon the exercise of this Warrant above the Exercise Price then in effect, (ii) shall take all such actions as may be necessary or appropriate in order that the Company may validly and legally issue fully paid and non-assessable Ordinary Shares upon the exercise of this Warrant, and (iii) shall, so long as any of the SPA Warrants are outstanding, take all action necessary to reserve and keep available out of its authorized and unissued Ordinary Shares, solely for the purpose of effecting the exercise of the SPA Warrants, the maximum number of Ordinary Shares as shall from time to time be necessary to effect the exercise of the SPA Warrants then outstanding; provided, however, that such amount of reserved Ordinary Shares shall be limited by the Maximum Percentage of Ordinary Shares as set forth in Section 1(c)‎.</w:t>
      </w:r>
    </w:p>
    <w:p>
      <w:pPr>
        <w:spacing w:after="0" w:line="191" w:lineRule="exact"/>
        <w:rPr>
          <w:rFonts w:ascii="Times New Roman" w:cs="Times New Roman" w:eastAsia="Times New Roman" w:hAnsi="Times New Roman"/>
          <w:sz w:val="18"/>
          <w:szCs w:val="18"/>
          <w:color w:val="auto"/>
        </w:rPr>
      </w:pPr>
    </w:p>
    <w:p>
      <w:pPr>
        <w:jc w:val="both"/>
        <w:ind w:firstLine="8"/>
        <w:spacing w:after="0" w:line="253" w:lineRule="auto"/>
        <w:tabs>
          <w:tab w:leader="none" w:pos="19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w:t>
      </w:r>
    </w:p>
    <w:p>
      <w:pPr>
        <w:spacing w:after="0" w:line="19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under the Securities Act, the Company may require, as a condition of allowing such transfer, that the Holder or transferee of this Warrant, as the case may be, provide to the Company an opinion of counsel selected by the Holder and reasonably acceptable to the Company, the form and substance of which opinion shall be reasonably satisfactory to the Company, to the effect that such transfer does not require registration of such transferred securities under the Securities 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56"/>
        <w:spacing w:after="0" w:line="258" w:lineRule="auto"/>
        <w:tabs>
          <w:tab w:leader="none" w:pos="93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Ordinary Shares shall be given.</w:t>
      </w:r>
    </w:p>
    <w:p>
      <w:pPr>
        <w:spacing w:after="0" w:line="18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New Warrants</w:t>
      </w:r>
      <w:r>
        <w:rPr>
          <w:rFonts w:ascii="Times New Roman" w:cs="Times New Roman" w:eastAsia="Times New Roman" w:hAnsi="Times New Roman"/>
          <w:sz w:val="17"/>
          <w:szCs w:val="17"/>
          <w:color w:val="auto"/>
        </w:rPr>
        <w:t>. Whenever the Company is required to issue a new Warrant pursuant to the terms of this Warrant, such new Warrant</w:t>
      </w:r>
    </w:p>
    <w:p>
      <w:pPr>
        <w:spacing w:after="0" w:line="38" w:lineRule="exact"/>
        <w:rPr>
          <w:rFonts w:ascii="Times New Roman" w:cs="Times New Roman" w:eastAsia="Times New Roman" w:hAnsi="Times New Roman"/>
          <w:sz w:val="17"/>
          <w:szCs w:val="17"/>
          <w:color w:val="auto"/>
        </w:rPr>
      </w:pPr>
    </w:p>
    <w:p>
      <w:pPr>
        <w:jc w:val="both"/>
        <w:ind w:firstLine="8"/>
        <w:spacing w:after="0" w:line="253" w:lineRule="auto"/>
        <w:tabs>
          <w:tab w:leader="none" w:pos="22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Ordinary Shares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7" w:lineRule="exact"/>
        <w:rPr>
          <w:sz w:val="20"/>
          <w:szCs w:val="20"/>
          <w:color w:val="auto"/>
        </w:rPr>
      </w:pPr>
    </w:p>
    <w:p>
      <w:pPr>
        <w:jc w:val="both"/>
        <w:ind w:firstLine="8"/>
        <w:spacing w:after="0" w:line="253" w:lineRule="auto"/>
        <w:tabs>
          <w:tab w:leader="none" w:pos="1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10(f)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and (ii) at least two (2) days prior to the date on which the Company closes its books or takes a record (A) with respect to any dividend or distribution upon the Ordinary Shares, (B) with respect to any grants, issuances or sales of any Options, Convertible Securities or rights to purchase stock, warrants, securities, indebtedness, or other property pro rata to holders of Ordinary Shares or</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for determining rights to vote with respect to any Fundamental Transaction, dissolution or liquidation, provided in each case that such information (to the extent it constitutes, or contains, material, non-public information regarding the Company shall be made known to the public prior to or in conjunction with such notice being provided to the Holder and (iii) at least two (2) Trading Days prior to the consummation of any Fundamental Transaction. It is expressly understood and agreed that the time of execution specified by the Holder in each Exercise Notice shall be definitive and may not be disputed or challenged by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8"/>
        <w:spacing w:after="0" w:line="258" w:lineRule="auto"/>
        <w:tabs>
          <w:tab w:leader="none" w:pos="1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1‎(c))‎ may be amended and the Company may take any action herein prohibited, or omit to perform any act herein required to be performed by it, only if the Company has obtained the written consent of the Required Majority, provided that the Company may lower the Exercise Price or extend the Expiration Date without the consent of the Holder. The Holder shall be entitled, at its option, to the benefit of any amendment of any other similar warrant issued under the Securities Purchase Agreement. No waiver shall be effective unless it is in writing and signed by an authorized representative of the waiving party.</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7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jc w:val="both"/>
        <w:ind w:firstLine="8"/>
        <w:spacing w:after="0" w:line="252" w:lineRule="auto"/>
        <w:tabs>
          <w:tab w:leader="none" w:pos="26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Times New Roman" w:cs="Times New Roman" w:eastAsia="Times New Roman" w:hAnsi="Times New Roman"/>
          <w:sz w:val="18"/>
          <w:szCs w:val="18"/>
          <w:b w:val="1"/>
          <w:bCs w:val="1"/>
          <w:color w:val="auto"/>
        </w:rPr>
        <w:t>THE</w:t>
      </w:r>
    </w:p>
    <w:p>
      <w:pPr>
        <w:spacing w:after="0" w:line="5" w:lineRule="exact"/>
        <w:rPr>
          <w:rFonts w:ascii="Times New Roman" w:cs="Times New Roman" w:eastAsia="Times New Roman" w:hAnsi="Times New Roman"/>
          <w:sz w:val="18"/>
          <w:szCs w:val="18"/>
          <w:color w:val="auto"/>
        </w:rPr>
      </w:pPr>
    </w:p>
    <w:p>
      <w:pPr>
        <w:jc w:val="both"/>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HEREBY IRREVOCABLY WAIVES ANY RIGHT IT MAY HAVE TO, AND AGREES NOT TO REQUEST, A JURY TRIAL FOR THE ADJUDICATION OF ANY DISPUTE HEREUNDER OR IN CONNECTION WITH OR ARISING OUT OF THIS WARRANT OR ANY TRANSACTION CONTEMPLATED HEREBY.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8"/>
        <w:spacing w:after="0" w:line="261" w:lineRule="auto"/>
        <w:tabs>
          <w:tab w:leader="none" w:pos="27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7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8"/>
        <w:spacing w:after="0" w:line="252" w:lineRule="auto"/>
        <w:tabs>
          <w:tab w:leader="none" w:pos="27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ind w:firstLine="656"/>
        <w:spacing w:after="0" w:line="286" w:lineRule="auto"/>
        <w:tabs>
          <w:tab w:leader="none" w:pos="89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Friday, Saturday, Sunday or other day on which commercial banks in New York, New York or Israel are authorized or required by law to remain closed.</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Ordinary Shares.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ind w:firstLine="656"/>
        <w:spacing w:after="0" w:line="286" w:lineRule="auto"/>
        <w:tabs>
          <w:tab w:leader="none" w:pos="89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or the Principal Market.</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thirty-six (36) months after the Issuance Date or, if such date falls on a day other than a Business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4"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(i) the Company shall, directly or indirectly, in one or more related transactions, (1) consolidate or merge with or into (whether or not the Company is the surviving entity) any other Person unless the shareholders of the Company immediately prior to such consolidation or merger continue to hold more than 50% of the outstanding shares of Voting Stock after such consolidation or merger, or (2) sell, lease, license, assign, transfer, convey or otherwise dispose of all or substantially all of its properties or assets to any other Person, in connection with which the Company is dissolved,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Ordinary Shares or Convertible Securities.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2" w:lineRule="auto"/>
        <w:tabs>
          <w:tab w:leader="none" w:pos="90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ordinary shares, no par value per share, of the Company and any other shares issued or issuable with respect thereto (whether by way of a stock dividend or stock split or in exchange for or upon conversion of such shares or otherwise in connection with a combination of shares, distribution, recapitalization, merger, consolidation, other corporate reorganization or other similar event with respect to the Ordinary Shares).</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ind w:right="20" w:firstLine="656"/>
        <w:spacing w:after="0" w:line="286" w:lineRule="auto"/>
        <w:tabs>
          <w:tab w:leader="none" w:pos="86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93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0" w:lineRule="exact"/>
        <w:rPr>
          <w:rFonts w:ascii="Times New Roman" w:cs="Times New Roman" w:eastAsia="Times New Roman" w:hAnsi="Times New Roman"/>
          <w:sz w:val="18"/>
          <w:szCs w:val="18"/>
          <w:color w:val="auto"/>
        </w:rPr>
      </w:pPr>
    </w:p>
    <w:p>
      <w:pPr>
        <w:jc w:val="both"/>
        <w:ind w:firstLine="656"/>
        <w:spacing w:after="0" w:line="255" w:lineRule="auto"/>
        <w:tabs>
          <w:tab w:leader="none" w:pos="89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Ordinary Shares, any day on which the Ordinary Shares is traded on the Principal Market, or, if the Principal Market is not the principal trading market for the Ordinary Shares, then on the principal securities exchange or securities market on which the Ordinary Shares is then traded, provided that “Trading Day” shall not include any day on which the Ordinary Shares is scheduled to trade on such exchange or market for less than 4.5 hours or any day that the Ordinary Shares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Ordinary Shares, any day on which The New York Stock Exchange (or any successor thereto) is open for trading of securities.</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95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Warrant to Purchase Ordinary Shares to be duly executed as of the Issuance Date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ORDINARY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of the attached warrant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hereby exercises the right to purchase in respect of, _________________ of the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Ordinary Shares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HUB Cyber Security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Holder shall pay the Aggregate Exercise Price in the sum of $___________________ to the Company in accordance with the terms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jc w:val="both"/>
        <w:ind w:right="20" w:firstLine="656"/>
        <w:spacing w:after="0" w:line="266" w:lineRule="auto"/>
        <w:tabs>
          <w:tab w:leader="none" w:pos="84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and Net Number of Ordinary Shares</w:t>
      </w:r>
      <w:r>
        <w:rPr>
          <w:rFonts w:ascii="Times New Roman" w:cs="Times New Roman" w:eastAsia="Times New Roman" w:hAnsi="Times New Roman"/>
          <w:sz w:val="18"/>
          <w:szCs w:val="18"/>
          <w:color w:val="auto"/>
        </w:rPr>
        <w:t>. The Company shall deliver to Holder, or its designee or agent as specified below, __________ Ordinary Shares in respect of the exercise contemplated hereby. Delivery shall be made to Holder, or for its benefit, to the following address:</w:t>
      </w:r>
    </w:p>
    <w:p>
      <w:pPr>
        <w:spacing w:after="0" w:line="17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 __, 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Registered Holder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ind w:left="10220"/>
        <w:spacing w:after="0"/>
        <w:rPr>
          <w:sz w:val="20"/>
          <w:szCs w:val="20"/>
          <w:color w:val="auto"/>
        </w:rPr>
      </w:pPr>
      <w:r>
        <w:rPr>
          <w:rFonts w:ascii="Times New Roman" w:cs="Times New Roman" w:eastAsia="Times New Roman" w:hAnsi="Times New Roman"/>
          <w:sz w:val="17"/>
          <w:szCs w:val="17"/>
          <w:b w:val="1"/>
          <w:bCs w:val="1"/>
          <w:color w:val="auto"/>
        </w:rPr>
        <w:t>Exhibit 10.45</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FROM REPUTABLE COUNSEL,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rdinary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August 18, 2024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HUB Cyber Security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CLAYMORE CAPITAL PTY LTD,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Ordinary Shares (including any Warrants to Purchase Ordinary Shares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Issuance Date, but not after 11:59 p.m., New York time, on the Expiration Date (as defined below), 1,108,332 (subject to adjustment as provided herein), fully paid and non-assessable Ordinary Shares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Warrant is being issued to Holder in connection with Holder’s position as the placement agent in a transaction in which Warrants to purchase Ordinary Shares (the “</w:t>
      </w:r>
      <w:r>
        <w:rPr>
          <w:rFonts w:ascii="Times New Roman" w:cs="Times New Roman" w:eastAsia="Times New Roman" w:hAnsi="Times New Roman"/>
          <w:sz w:val="18"/>
          <w:szCs w:val="18"/>
          <w:b w:val="1"/>
          <w:bCs w:val="1"/>
          <w:color w:val="auto"/>
        </w:rPr>
        <w:t>SPA Warrants</w:t>
      </w:r>
      <w:r>
        <w:rPr>
          <w:rFonts w:ascii="Times New Roman" w:cs="Times New Roman" w:eastAsia="Times New Roman" w:hAnsi="Times New Roman"/>
          <w:sz w:val="18"/>
          <w:szCs w:val="18"/>
          <w:color w:val="auto"/>
        </w:rPr>
        <w:t>”) were issued to pursuant to that certain Securities Purchase Agreement, dated as of August 18, 2024, by and among the Company and the investor(s) referred to therein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ind w:left="180" w:hanging="172"/>
        <w:spacing w:after="0"/>
        <w:tabs>
          <w:tab w:leader="none" w:pos="1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1‎(e)),‎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in cash or via wire transfer of immediately available funds.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w:t>
      </w:r>
    </w:p>
    <w:p>
      <w:pPr>
        <w:spacing w:after="0" w:line="6"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as cancellation of the original of this Warrant certificate after delivery of the Warrant Shares in accordance with the terms hereof. On or before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Trading Day following the date on which the Company has received an Exercise Notice, the Company shall transmit by email an acknowledgment of confirmation of receipt of such Exercise Notice,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On or before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on which the Company has received such Exercise Notice, the Company shall,</w:t>
      </w:r>
    </w:p>
    <w:p>
      <w:pPr>
        <w:spacing w:after="0" w:line="1" w:lineRule="exact"/>
        <w:rPr>
          <w:sz w:val="20"/>
          <w:szCs w:val="20"/>
          <w:color w:val="auto"/>
        </w:rPr>
      </w:pPr>
    </w:p>
    <w:p>
      <w:pPr>
        <w:jc w:val="both"/>
        <w:ind w:firstLine="8"/>
        <w:spacing w:after="0" w:line="250" w:lineRule="auto"/>
        <w:tabs>
          <w:tab w:leader="none" w:pos="2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cause the Transfer Agent to do at Holder’s request) and provided the legends would be eligible to be removed from such Ordinary Shares pursuant to Section 1(b) below, upon the request of the Holder, credit such aggregate number of Ordinary Shares to which the Holder is entitled pursuant to such exercise to the Holder’s or its designee’s balance account with DTC through its Deposit/ Withdrawal at Custodian system, or (ii) if the Transfer Agent is not participating in the DTC Fast Automated Securities Transfer Program or the legends would not be eligible to be removed from such Ordinary Shares pursuant to Section 1(b) below, issue and deliver to the Holder or, at the Holder’s instruction pursuant to the Exercise Notice, the Holder’s agent or designee, in each case, sent to the address as specified in the applicable Exercise Notice, a certificate or book entry position, in the name of the Holder or its designee (as indicated in the applicable Exercise Notice), for the number of Ordinary Shares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or book entry positions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and upon surrender hereof by the Holder at the principal office of the Company, the Company shall as soon as practicable and in no event later than three (3) Business Days after any exercise and at its own expense, issue and</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Ordinary Shares are to be issued upon the exercise of this Warrant, but rather the number of Ordinary Shares to be issued shall be rounded up to the nearest whole number. The Company shall pay any and all taxes and fees which may be payable with respect to the issuance and delivery of Warrant Shares upon exercise of this Warrant.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656"/>
        <w:spacing w:after="0" w:line="261" w:lineRule="auto"/>
        <w:tabs>
          <w:tab w:leader="none" w:pos="90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Holder understands that this Warrant has not been (or will not be in the case of the Warrant Shares) registered under the 1933 Act, and may not be offered or sold within the United States or to, or for the account or benefit of, U.S. persons except in accordance with Rule 144 or pursuant to another exemption from the registration requirements of the 1933 Act, and except as set forth below, the Securities shall bear a restrictive legend in substantially the form set forth at the top of this Warrant (and a stop-transfer order may be placed against transfer of such stock certificates).</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 This Warrant (or Warrant Shares) shall not be required to contain the legend set forth in Section 1(a) above or any other legend (i) while a registration statement covering the resale of such securities is effective under the 1933 Act (provided that Holder provides the Company with any certificates from Holder or its broker reasonably required by the Company’s transfer agent), (ii) following any sale of such securities pursuant to Rule 144 (assuming the transferor is not an affiliate of the Company) or a registration statement, (iii) in connection with a sale, assignment or other transfer under Rule 144 (provided that Holder provides the Company with reasonable assurances that such securities are eligible for sale, assignment or transfer under Rule 144, which shall not include an opinion of counsel, but which may include any certificates from Holder or its broker reasonably required by the Company’s transfer agent), (iv) in connection with a sale, assignment or other transfer (other than under Rule 144), provided that Holder provides the Company with an opinion of counsel to Holder from reputable counsel to the effect that such sale, assignment or transfer of the Securities may be made without registration under the applicable requirements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five (5) Trading Days following the delivery by Holder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Holder as may be required above in this Section 1‎1(c), as directed by such Holder, credit the aggregate number of Ordinary Shares to which Holder shall be entitled to such Holder’s or its designee’s balance account with DTC through its Deposit/Withdrawal at Custodian system.</w:t>
      </w:r>
    </w:p>
    <w:p>
      <w:pPr>
        <w:spacing w:after="0" w:line="191" w:lineRule="exact"/>
        <w:rPr>
          <w:rFonts w:ascii="Times New Roman" w:cs="Times New Roman" w:eastAsia="Times New Roman" w:hAnsi="Times New Roman"/>
          <w:sz w:val="18"/>
          <w:szCs w:val="18"/>
          <w:color w:val="auto"/>
        </w:rPr>
      </w:pPr>
    </w:p>
    <w:p>
      <w:pPr>
        <w:jc w:val="both"/>
        <w:ind w:firstLine="656"/>
        <w:spacing w:after="0" w:line="262" w:lineRule="auto"/>
        <w:tabs>
          <w:tab w:leader="none" w:pos="90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$1.00 per Warrant Share, provided that in the event the Conversion Price under the Convertible Notes being issued pursuant to the Securities Purchase Agreement is reduced below $0.70 per Ordinary Share, then the Exercise Price shall be proportionately reduced in relation to the Conversion Price (e.g., if the Conversion Price is reduced to $0.65, then the Exercise Price will be reduced to $0.93 per Warrant Share), subject to adjustment as provided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656"/>
        <w:spacing w:after="0" w:line="252" w:lineRule="auto"/>
        <w:tabs>
          <w:tab w:leader="none" w:pos="91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 and Exchanges</w:t>
      </w:r>
      <w:r>
        <w:rPr>
          <w:rFonts w:ascii="Times New Roman" w:cs="Times New Roman" w:eastAsia="Times New Roman" w:hAnsi="Times New Roman"/>
          <w:sz w:val="18"/>
          <w:szCs w:val="18"/>
          <w:color w:val="auto"/>
        </w:rPr>
        <w:t>. Notwithstanding anything to the contrary contained in this Warrant, this Warrant shall not be exercisable or exchangeable by the Holder hereof to the extent (but only to the extent) that the Holder or any of its affiliates (either individually or collectively) would beneficially own in excess of 4.99% of the number of Ordinary Shares outstanding after giving effect to the issuance of Ordinary Shares issuable upon exercise of the Warrants calculated in accordance with Section 13(d) of the 1934 Act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To the extent the above limitation applies, the determination of whether this Warrant shall be exercisable or exchangeable (vis-à-vis other convertible, exercisable or exchangeable securities owned by the Holder or any of its affiliates) and of which such securities shall be exercisable or exchangeable (as among all such securities owned by the Holder) shall, subject to such Maximum Percentage limitation, be determined on the basis of the first submission to the Company for conversion, exercise or exchange (as the case may be). No prior inability to exercise or exchange this Warrant pursuant to this paragraph shall have any effect on the applicability of the provisions of this paragraph with respect to any subsequent determination of exercisability or exchangeability.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and, in addition, with the intention that Section 328 to the Israeli Companies Law, 1999, shall not apply to any of the transactions contemplated under this Warrant. The limitations contained in this paragraph shall apply to a successor Holder of this Warrant. The holders of Ordinary Shares shall be third party beneficiaries of this paragraph and the Company may not waive this paragraph without the consent of holders of a majority of its Ordinary Shares. For any reason at any time, upon the written or oral request of the Holder, the Company shall within two (2) Business Days confirm orally and in writing to the Holder the number of Ordinary Shares then outstanding, including by virtue of any prior conversion or exercise or exchange of convertible or exercisable or exchangeable securities into Ordinary Shares, including, without limitation, pursuant to this Warrant or securities issued pursuant to the Securities Purchase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873"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Insufficient Authorized Shares</w:t>
      </w:r>
      <w:r>
        <w:rPr>
          <w:rFonts w:ascii="Times New Roman" w:cs="Times New Roman" w:eastAsia="Times New Roman" w:hAnsi="Times New Roman"/>
          <w:sz w:val="18"/>
          <w:szCs w:val="18"/>
          <w:color w:val="auto"/>
        </w:rPr>
        <w:t>. The Company shall initially reserve out of its authorized and unissued Ordinary Shares a number of Ordinary Shares equal to the maximum number of Warrant Shares issuable to satisfy the Company’s obligations to issue Ordinary Shares hereunder, and the Company shall at all times keep reserved for issuance under this Warrant a number of Ordinary Shares equal to the maximum number of Warrant Shares issuable to satisfy the Company’s obligation to issue Ordinary Shares hereunder.</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Activity Restrictions</w:t>
      </w:r>
      <w:r>
        <w:rPr>
          <w:rFonts w:ascii="Times New Roman" w:cs="Times New Roman" w:eastAsia="Times New Roman" w:hAnsi="Times New Roman"/>
          <w:sz w:val="18"/>
          <w:szCs w:val="18"/>
          <w:color w:val="auto"/>
        </w:rPr>
        <w:t>. For so long as Holder holds this Warrant or any Warrant Shares, Holder will not: (i) engage or participate in any actions, plans or proposals which relate to or would result in (a) acquiring additional securities of the Company, alone or together with any other Person, which would result in beneficially owning or controlling, or being deemed to beneficially own or control, more than 9.9% of the total outstanding Ordinary Shares or other voting securities of the Company, (b) an extraordinary corporate transaction, such as a merger, reorganization or liquidation, involving Company,</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6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sale or transfer of a material amount of assets of the Company, (d) any change in the present board of directors or management of the Company, including any plans or proposals to change the number or term of directors or to fill any existing vacancies on the board, (e) any material change in the present capitalization or dividend policy of the Company, (f) any other material change in the Company’s business or corporate structure, including but not limited to, if the Company is a registered closed-end investment company, any plans or proposals to make any changes in its investment policy for which a vote is required by Section 13 of the Investment Company Act of 1940, (g) changes in the Company’s charter, bylaws or instruments corresponding thereto or other actions which may impede the acquisition of control of the Company by any Person, (h) causing a class of securities of the Company to be delisted from a national securities exchange or to cease to be authorized to be quoted in an inter-dealer quotation system of a registered national securities association, (i) a class of equity securities of the Company becoming eligible for termination of registration pursuant to Section 12(g)(4) of the Act, or (j) any action, intention, plan or arrangement similar to any of those enumerated above, or (ii) request the Company or its directors, officers, employees, agents or representatives to amend or waive any provision of this Section 1‎(g);‎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contain in clauses (i) and (ii) above, Holder may vote any Ordinary Shares owned or controlled by it, solicit any proxies, or seek to advise or influence any Person with respect to any voting securities of the Company. Holder may only exercise this Warrant for a cash exercise price if the trading price at the time of exercise is greater than the then applicable Exercise Price.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656"/>
        <w:spacing w:after="0" w:line="258" w:lineRule="auto"/>
        <w:tabs>
          <w:tab w:leader="none" w:pos="90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The Holder covenants that through and including the first Trading Day following the full exercise or expiration of this Warrant, none of the Holder any of its officers, or any entity managed or controlled by the Holder (each of the foregoing, a “</w:t>
      </w:r>
      <w:r>
        <w:rPr>
          <w:rFonts w:ascii="Times New Roman" w:cs="Times New Roman" w:eastAsia="Times New Roman" w:hAnsi="Times New Roman"/>
          <w:sz w:val="18"/>
          <w:szCs w:val="18"/>
          <w:b w:val="1"/>
          <w:bCs w:val="1"/>
          <w:color w:val="auto"/>
        </w:rPr>
        <w:t>Restricted Person</w:t>
      </w:r>
      <w:r>
        <w:rPr>
          <w:rFonts w:ascii="Times New Roman" w:cs="Times New Roman" w:eastAsia="Times New Roman" w:hAnsi="Times New Roman"/>
          <w:sz w:val="18"/>
          <w:szCs w:val="18"/>
          <w:color w:val="auto"/>
        </w:rPr>
        <w:t>”) shall, directly or indirectly, (i) engage in any “short sale” (as such term is defined in Rule 200 of Regulation SHO of the 1934 Act) of the Ordinary Shares or (ii) engage in any hedging transaction, which establishes a net short position with respect to any securities of the Company (including the Ordinary Shares), with respect to each of clauses (i) and (ii) hereof, either for its own principal account or for the principal account of any other Restricted Person.</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During such time as this Warrant is outstanding, the Exercise Price and number of Warrant Shares issuable upon exercise of this Warrant are subject to adjustment from time to time as set forth in this Section 2‎.</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Without limiting any provision of Section 4,‎ if the Company, at any time on or after the date of the Securities Purchase Agreement, (i) pays a stock dividend on one or more classes of its then outstanding Ordinary Shares or otherwise makes a distribution on any class of capital stock that is payable in Ordinary Shares, (ii) subdivides (by any stock split, stock dividend, recapitalization or otherwise) one or more classes of its then outstanding Ordinary Shares into a larger number of shares or (iii) combines (by combination, reverse stock split or otherwise) one or more classes of its then outstanding Ordinary Shares into a smaller number of shares, then in each such case the Exercise Price shall be multiplied by a fraction of which the numerator shall be the number of Ordinary Shares outstanding immediately before such event and of which the denominator shall be the number of Ordinary Shares outstanding immediately after such event.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paragraph (a) of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25" w:lineRule="auto"/>
        <w:tabs>
          <w:tab w:leader="none" w:pos="89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cent and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applicable. The number of Ordinary Shares outstanding at any given time shall not include shares owned or held by or for the account of the Company, and the disposition of any such shares shall be considered an issue or sale of Ordinary Shares.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both"/>
        <w:ind w:firstLine="8"/>
        <w:spacing w:after="0" w:line="255" w:lineRule="auto"/>
        <w:tabs>
          <w:tab w:leader="none" w:pos="19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during such time as this Warrant is outstanding, the Company shall declare or make any dividend or other distribution of its assets (or rights to acquire its assets) to holders of Ordinary Shares, by way of return of capital or otherwise (including, without limitation, any distribution of cash, stock or other securities, indebtedness, property or options by way of a dividend, spin off, reclassification, corporate rearrangement, scheme of arrangement or other similar transaction, other than a</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Ordinary Shares covered by Section 2(a))‎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provision shall be made so that upon exercise of this Warrant,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Ordinary Shares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Ordinary Shares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9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 2‎ above, if at during such time as this Warrant is outstanding the Company grants, issues or sells any Options, Convertible Securities or rights to purchase stock, warrants, securities or other property pro rata to the record holders of any class of Ordinary Shares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56"/>
        <w:spacing w:after="0" w:line="254" w:lineRule="auto"/>
        <w:tabs>
          <w:tab w:leader="none" w:pos="93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During such time as this Warrant is outstanding, upon the consummation of a Fundamental Transaction, the Successor Entity shall deliver to the Holder, in lieu of the Ordinary Shares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or other securities, cash, assets or other property (together, the “</w:t>
      </w:r>
      <w:r>
        <w:rPr>
          <w:rFonts w:ascii="Times New Roman" w:cs="Times New Roman" w:eastAsia="Times New Roman" w:hAnsi="Times New Roman"/>
          <w:sz w:val="18"/>
          <w:szCs w:val="18"/>
          <w:b w:val="1"/>
          <w:bCs w:val="1"/>
          <w:color w:val="auto"/>
        </w:rPr>
        <w:t>Fundamental Transaction Consideration</w:t>
      </w:r>
      <w:r>
        <w:rPr>
          <w:rFonts w:ascii="Times New Roman" w:cs="Times New Roman" w:eastAsia="Times New Roman" w:hAnsi="Times New Roman"/>
          <w:sz w:val="18"/>
          <w:szCs w:val="18"/>
          <w:color w:val="auto"/>
        </w:rPr>
        <w:t>”), which the Holder would have been entitled to receive upon the closing of the applicable Fundamental Transaction had this Warrant been exercised immediately prior to the applicable Fundamental Transaction (net of the exercise price at the closing of the applicable Fundamental Transaction); provided, however, that such amount of reserved Ordinary Shares shall be limited by the Maximum Percentage of Ordinary Shares as set forth in Section 1(e)‎.</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The provisions of this Section 4‎ shall apply similarly and equally to successive Fundamental Transactions and shall be applied as if this Warrant (and any such subsequent warrants issued hereunder)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79" w:lineRule="exact"/>
        <w:rPr>
          <w:rFonts w:ascii="Times New Roman" w:cs="Times New Roman" w:eastAsia="Times New Roman" w:hAnsi="Times New Roman"/>
          <w:sz w:val="18"/>
          <w:szCs w:val="18"/>
          <w:color w:val="auto"/>
        </w:rPr>
      </w:pPr>
    </w:p>
    <w:p>
      <w:pPr>
        <w:jc w:val="both"/>
        <w:ind w:firstLine="8"/>
        <w:spacing w:after="0" w:line="253" w:lineRule="auto"/>
        <w:tabs>
          <w:tab w:leader="none" w:pos="19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During such time as this Warrant is outstanding, the Company hereby covenants and agrees that the Company will not, by amendment of its articles of association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Ordinary Shares receivable upon the exercise of this Warrant above the Exercise Price then in effect, (ii) shall take all such actions as may be necessary or appropriate in order that the Company may validly and legally issue fully paid and non-assessable Ordinary Shares upon the exercise of this Warrant, and (iii) shall, so long as any of the SPA Warrants are outstanding, take all action necessary to reserve and keep available out of its authorized and unissued Ordinary Shares, solely for the purpose of effecting the exercise of the SPA Warrants, the maximum number of Ordinary Shares as shall from time to time be necessary to effect the exercise of the SPA Warrants then outstanding; provided, however, that such amount of reserved Ordinary Shares shall be limited by the Maximum Percentage of Ordinary Shares as set forth in Section 1(e)‎.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firstLine="8"/>
        <w:spacing w:after="0" w:line="253" w:lineRule="auto"/>
        <w:tabs>
          <w:tab w:leader="none" w:pos="19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w:t>
      </w:r>
    </w:p>
    <w:p>
      <w:pPr>
        <w:spacing w:after="0" w:line="19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under the Securities Act, the Company may require, as a condition of allowing such transfer, that the Holder or transferee of this Warrant, as the case may be, provide to the Company an opinion of counsel selected by the Holder and reasonably acceptable to the Company, the form and substance of which opinion shall be reasonably satisfactory to the Company, to the effect that such transfer does not require registration of such transferred securities under the Securities Act.</w:t>
      </w:r>
    </w:p>
    <w:p>
      <w:pPr>
        <w:spacing w:after="0" w:line="193" w:lineRule="exact"/>
        <w:rPr>
          <w:rFonts w:ascii="Times New Roman" w:cs="Times New Roman" w:eastAsia="Times New Roman" w:hAnsi="Times New Roman"/>
          <w:sz w:val="18"/>
          <w:szCs w:val="18"/>
          <w:color w:val="auto"/>
        </w:rPr>
      </w:pPr>
    </w:p>
    <w:p>
      <w:pPr>
        <w:jc w:val="both"/>
        <w:ind w:firstLine="656"/>
        <w:spacing w:after="0" w:line="258" w:lineRule="auto"/>
        <w:tabs>
          <w:tab w:leader="none" w:pos="93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Ordinary Shares shall be given.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left="920" w:hanging="264"/>
        <w:spacing w:after="0"/>
        <w:tabs>
          <w:tab w:leader="none" w:pos="92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New Warrants</w:t>
      </w:r>
      <w:r>
        <w:rPr>
          <w:rFonts w:ascii="Times New Roman" w:cs="Times New Roman" w:eastAsia="Times New Roman" w:hAnsi="Times New Roman"/>
          <w:sz w:val="17"/>
          <w:szCs w:val="17"/>
          <w:color w:val="auto"/>
        </w:rPr>
        <w:t>. Whenever the Company is required to issue a new Warrant pursuant to the terms of this Warrant, such new Warrant</w:t>
      </w:r>
    </w:p>
    <w:p>
      <w:pPr>
        <w:spacing w:after="0" w:line="38" w:lineRule="exact"/>
        <w:rPr>
          <w:rFonts w:ascii="Times New Roman" w:cs="Times New Roman" w:eastAsia="Times New Roman" w:hAnsi="Times New Roman"/>
          <w:sz w:val="17"/>
          <w:szCs w:val="17"/>
          <w:color w:val="auto"/>
        </w:rPr>
      </w:pPr>
    </w:p>
    <w:p>
      <w:pPr>
        <w:jc w:val="both"/>
        <w:ind w:firstLine="8"/>
        <w:spacing w:after="0" w:line="253" w:lineRule="auto"/>
        <w:tabs>
          <w:tab w:leader="none" w:pos="22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Ordinary Shares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7" w:lineRule="exact"/>
        <w:rPr>
          <w:sz w:val="20"/>
          <w:szCs w:val="20"/>
          <w:color w:val="auto"/>
        </w:rPr>
      </w:pPr>
    </w:p>
    <w:p>
      <w:pPr>
        <w:jc w:val="both"/>
        <w:ind w:firstLine="8"/>
        <w:spacing w:after="0" w:line="256" w:lineRule="auto"/>
        <w:tabs>
          <w:tab w:leader="none" w:pos="19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and will be deemed to have been delivered: (i) upon receipt, if delivered personally; (ii)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(iii) if sent by overnight courier service, one (1) Business Day after deposit with an overnight courier service with next day delivery specified, in each case, properly addressed to the party to receive the same. The addresses and e-mail addresses for such communications shall be: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HUB Cyber Security Ltd.</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 Kaplan St.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 Aviv 6473403, Israel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 +972-3-924-4074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Address: Osher Partok Rheinisch, Chief Legal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osher.p.rheinisch@hubsecurity.io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Goldfarb, Gross, Seligman &amp; Co.</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One Azrieli Center, Round Building</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Tel-Aviv 67021, Israel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Adam M. Klein; Daniel P. Kahn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adam.klein@goldfarb.com; daniel.kahn@goldfarb.com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Holder: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Sharron Rosenberg</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mr@mdrcapital.com.au</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LEVEL 27 25 BLIGH ST SYDNEY NSW 2000</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to such other address or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or (B) provided by an overnight courier service shall be rebuttable evidence of personal service or receipt from an overnight courier service in accordance with clause (i) or (iii) above, respectively. A copy of the e-mail transmission containing the time, date and recipient e-mail address shall be rebuttable evidence of receipt by e-mail in accordance with clause (ii) above.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and (ii) at least two (2) days prior to the date on which the Company closes its books or takes a record (A) with respect to any dividend or distribution upon the Ordinary Shares, (B) with respect to any grants, issuances or sales of any Options, Convertible Securities or rights to purchase stock, warrants, securities, indebtedness, or other property pro rata to holders of Ordinary Shares or (C) for determining rights to vote with respect to any Fundamental Transaction, dissolution or liquidation, provided in each case that such information (to the extent it constitutes, or contains, material, non-public information regarding the Company shall be made known to the public prior to or in conjunction with such notice being provided to the Holder and (iii) at least two (2) Trading Days prior to the consummation of any Fundamental Transaction. It is expressly understood and agreed that the time of execution specified by the Holder in each Exercise Notice shall be definitive and may not be disputed or challenged by the Company.</w:t>
      </w:r>
    </w:p>
    <w:p>
      <w:pPr>
        <w:spacing w:after="0" w:line="194" w:lineRule="exact"/>
        <w:rPr>
          <w:sz w:val="20"/>
          <w:szCs w:val="20"/>
          <w:color w:val="auto"/>
        </w:rPr>
      </w:pPr>
    </w:p>
    <w:p>
      <w:pPr>
        <w:jc w:val="both"/>
        <w:ind w:firstLine="8"/>
        <w:spacing w:after="0" w:line="258" w:lineRule="auto"/>
        <w:tabs>
          <w:tab w:leader="none" w:pos="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1‎(e))‎ may be amended and the Company may take any action herein prohibited, or omit to perform any act herein required to be performed by it, only if the Company has obtained the written consent of the Required Majority, provided that the Company may lower the Exercise Price or extend the Expiration Date without the consent of the Holder. The Holder shall be entitled, at its option, to the benefit of any amendment of any other similar warrant issued under the Securities Purchase Agreement. No waiver shall be effective unless it is in writing and signed by an authorized representative of the waiving party.</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7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8"/>
        <w:spacing w:after="0" w:line="252" w:lineRule="auto"/>
        <w:tabs>
          <w:tab w:leader="none" w:pos="26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Times New Roman" w:cs="Times New Roman" w:eastAsia="Times New Roman" w:hAnsi="Times New Roman"/>
          <w:sz w:val="18"/>
          <w:szCs w:val="18"/>
          <w:b w:val="1"/>
          <w:bCs w:val="1"/>
          <w:color w:val="auto"/>
        </w:rPr>
        <w:t>THE</w:t>
      </w:r>
    </w:p>
    <w:p>
      <w:pPr>
        <w:spacing w:after="0" w:line="5" w:lineRule="exact"/>
        <w:rPr>
          <w:rFonts w:ascii="Times New Roman" w:cs="Times New Roman" w:eastAsia="Times New Roman" w:hAnsi="Times New Roman"/>
          <w:sz w:val="18"/>
          <w:szCs w:val="18"/>
          <w:color w:val="auto"/>
        </w:rPr>
      </w:pPr>
    </w:p>
    <w:p>
      <w:pPr>
        <w:jc w:val="both"/>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HEREBY IRREVOCABLY WAIVES ANY RIGHT IT MAY HAVE TO, AND AGREES NOT TO REQUEST, A JURY TRIAL FOR THE ADJUDICATION OF ANY DISPUTE HEREUNDER OR IN CONNECTION WITH OR ARISING OUT OF THIS WARRANT OR ANY TRANSACTION CONTEMPLATED HEREBY.</w:t>
      </w:r>
    </w:p>
    <w:p>
      <w:pPr>
        <w:spacing w:after="0" w:line="185"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7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8"/>
        <w:spacing w:after="0" w:line="252" w:lineRule="auto"/>
        <w:tabs>
          <w:tab w:leader="none" w:pos="27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left="280" w:hanging="272"/>
        <w:spacing w:after="0"/>
        <w:tabs>
          <w:tab w:leader="none" w:pos="2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ind w:firstLine="656"/>
        <w:spacing w:after="0" w:line="286" w:lineRule="auto"/>
        <w:tabs>
          <w:tab w:leader="none" w:pos="89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Friday, Saturday, Sunday or other day on which commercial banks in New York, New York or Israel are authorized or required by law to remain closed.</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Ordinary Shares.</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89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or the Principal Market.</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thirty-six (36) months after the Issuance Date or, if such date falls on a day other than a Business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4"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(i) the Company shall, directly or indirectly, in one or more related transactions, (1) consolidate or merge with or into (whether or not the Company is the surviving entity) any other Person unless the shareholders of the Company immediately prior to such consolidation or merger continue to hold more than 50% of the outstanding shares of Voting Stock after such consolidation or merger, or (2) sell, lease, license, assign, transfer, convey or otherwise dispose of all or substantially all of its properties or assets to any other Person, in connection with which the Company is dissolved,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ind w:left="880" w:hanging="224"/>
        <w:spacing w:after="0"/>
        <w:tabs>
          <w:tab w:leader="none" w:pos="8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Ordinary Shares or Convertible Securities.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2" w:lineRule="auto"/>
        <w:tabs>
          <w:tab w:leader="none" w:pos="90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ordinary shares, no par value per share, of the Company and any other shares issued or issuable with respect thereto (whether by way of a stock dividend or stock split or in exchange for or upon conversion of such shares or otherwise in connection with a combination of shares, distribution, recapitalization, merger, consolidation, other corporate reorganization or other similar event with respect to the Ordinary Shares).</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0" w:lineRule="exact"/>
        <w:rPr>
          <w:rFonts w:ascii="Times New Roman" w:cs="Times New Roman" w:eastAsia="Times New Roman" w:hAnsi="Times New Roman"/>
          <w:sz w:val="18"/>
          <w:szCs w:val="18"/>
          <w:color w:val="auto"/>
        </w:rPr>
      </w:pPr>
    </w:p>
    <w:p>
      <w:pPr>
        <w:ind w:right="20" w:firstLine="656"/>
        <w:spacing w:after="0" w:line="286" w:lineRule="auto"/>
        <w:tabs>
          <w:tab w:leader="none" w:pos="86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93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0" w:lineRule="exact"/>
        <w:rPr>
          <w:rFonts w:ascii="Times New Roman" w:cs="Times New Roman" w:eastAsia="Times New Roman" w:hAnsi="Times New Roman"/>
          <w:sz w:val="18"/>
          <w:szCs w:val="18"/>
          <w:color w:val="auto"/>
        </w:rPr>
      </w:pPr>
    </w:p>
    <w:p>
      <w:pPr>
        <w:jc w:val="both"/>
        <w:ind w:firstLine="656"/>
        <w:spacing w:after="0" w:line="255" w:lineRule="auto"/>
        <w:tabs>
          <w:tab w:leader="none" w:pos="89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Ordinary Shares, any day on which the Ordinary Shares is traded on the Principal Market, or, if the Principal Market is not the principal trading market for the Ordinary Shares, then on the principal securities exchange or securities market on which the Ordinary Shares is then traded, provided that “Trading Day” shall not include any day on which the Ordinary Shares is scheduled to trade on such exchange or market for less than 4.5 hours or any day that the Ordinary Shares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Ordinary Shares, any day on which The New York Stock Exchange (or any successor thereto) is open for trading of securities.</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95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Warrant to Purchase Ordinary Shares to be duly executed as of the Issuance Date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Noah Hershcoviz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Noah Hershcoviz</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Osher Partok Rheinisch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Osher Partok Rheinisch</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ORDINARY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of the attached warrant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hereby exercises the right to purchase in respect of, _________________ of the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Ordinary Shares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HUB Cyber Security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Holder shall pay the Aggregate Exercise Price in the sum of $___________________ to the Company in accordance with the terms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jc w:val="both"/>
        <w:ind w:firstLine="656"/>
        <w:spacing w:after="0" w:line="266" w:lineRule="auto"/>
        <w:tabs>
          <w:tab w:leader="none" w:pos="84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and Net Number of Ordinary Shares</w:t>
      </w:r>
      <w:r>
        <w:rPr>
          <w:rFonts w:ascii="Times New Roman" w:cs="Times New Roman" w:eastAsia="Times New Roman" w:hAnsi="Times New Roman"/>
          <w:sz w:val="18"/>
          <w:szCs w:val="18"/>
          <w:color w:val="auto"/>
        </w:rPr>
        <w:t>. The Company shall deliver to Holder, or its designee or agent as specified below, __________ Ordinary Shares in respect of the exercise contemplated hereby. Delivery shall be made to Holder, or for its benefit, to the following address:</w:t>
      </w:r>
    </w:p>
    <w:p>
      <w:pPr>
        <w:spacing w:after="0" w:line="1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 accordance with the Transfer Agent Instructions dated _________, 20__, from the Company and acknowledged and agreed to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10.47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COLLABORATION AND OPTION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Collaboration and Option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effective as of November 1, 2023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Hub Cyber Security Ltd., an Israeli company (“</w:t>
      </w:r>
      <w:r>
        <w:rPr>
          <w:rFonts w:ascii="Times New Roman" w:cs="Times New Roman" w:eastAsia="Times New Roman" w:hAnsi="Times New Roman"/>
          <w:sz w:val="18"/>
          <w:szCs w:val="18"/>
          <w:u w:val="single" w:color="auto"/>
          <w:color w:val="auto"/>
        </w:rPr>
        <w:t>Hub</w:t>
      </w:r>
      <w:r>
        <w:rPr>
          <w:rFonts w:ascii="Times New Roman" w:cs="Times New Roman" w:eastAsia="Times New Roman" w:hAnsi="Times New Roman"/>
          <w:sz w:val="18"/>
          <w:szCs w:val="18"/>
          <w:color w:val="auto"/>
        </w:rPr>
        <w:t>”) and BlackSwan Technologies,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Hub, each individually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have certain experience in the development and deployment of cybersecurity solutions;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Company has entered into agreements with Deutsche Bank and ING Bank and Company seeks Hub’s expertise in order to fulfill its obligations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prior to the execution of this Agreement, the Parties have been participating in collaboration activities to integrate the Hub technology and know-how and the Company technology and know-how and to engage in certain joint development activities in accordance with the terms and conditions set forth herein;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seek to formalize in a written agreement the terms of their ongoing collaboration and an option for Hub to acquire Company as described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acknowledged, and intending to be legally bound, the Parties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Agreement, capitalized terms used but not defined elsewhere shall have the following meanings.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 control with, such specified Person, through one or more intermediaries or otherwise.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Background IP</w:t>
      </w:r>
      <w:r>
        <w:rPr>
          <w:rFonts w:ascii="Times New Roman" w:cs="Times New Roman" w:eastAsia="Times New Roman" w:hAnsi="Times New Roman"/>
          <w:sz w:val="18"/>
          <w:szCs w:val="18"/>
          <w:color w:val="auto"/>
        </w:rPr>
        <w:t>” means any Intellectual Property owned or licensed by a Party or its Affiliates, created or developed prior to the Effective Date or after that date but without access to any of the information or materials provided or made available under this Agreement, including any Intellectual Property included in the Intellectual Property Collateral, as such term is defined in the separate Intellectual Property Security Agreement signed between the Parties on December 4, 2023 (the “</w:t>
      </w:r>
      <w:r>
        <w:rPr>
          <w:rFonts w:ascii="Times New Roman" w:cs="Times New Roman" w:eastAsia="Times New Roman" w:hAnsi="Times New Roman"/>
          <w:sz w:val="18"/>
          <w:szCs w:val="18"/>
          <w:u w:val="single" w:color="auto"/>
          <w:color w:val="auto"/>
        </w:rPr>
        <w:t>IP Security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Friday, Saturday, Sunday or other day on which commercial banks in New York, New York or in Tel Aviv, Israel are authorized or required by law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9" w:name="page160"/>
    <w:bookmarkEnd w:id="15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bona fide indication of interest, proposal or offer made by any Person (other than by Hub) related to, for or that would result in (a) a merger, reorganization, share exchange, consolidation, business combination, recapitalization or similar transaction involving Company, (b) the direct or indirect acquisition by any Person of (i) more than ten percent (10%) of the assets of Company and its subsidiaries, on a consolidated basis, or (ii) assets of Company and its subsidiaries to which more than ten percent (10%) of the revenues or earnings of Company and its subsidiaries, on a consolidated basis, are attributable for the most recent fiscal year for which the audited financial statements are then available, or (c) the direct or indirect acquisition by any Person of, or a tender offer or exchange offer that if consummated would result in such Person beneficially owning ten percent (10%) or of the outstanding share capital or total voting power of Company or any of its subsidiaries, in each of the foregoing clauses (a), (b) and (c), whether in a single transaction or a series of related transactions.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Deliverables</w:t>
      </w:r>
      <w:r>
        <w:rPr>
          <w:rFonts w:ascii="Times New Roman" w:cs="Times New Roman" w:eastAsia="Times New Roman" w:hAnsi="Times New Roman"/>
          <w:sz w:val="18"/>
          <w:szCs w:val="18"/>
          <w:color w:val="auto"/>
        </w:rPr>
        <w:t>” means any and all work product or other results of the Services, in any form or medium and regardless of the state of completion, that is delivered and/or developed by Company to or for Hub or its Affiliates or as set forth in the Integration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Hub-Compliant Devices</w:t>
      </w:r>
      <w:r>
        <w:rPr>
          <w:rFonts w:ascii="Times New Roman" w:cs="Times New Roman" w:eastAsia="Times New Roman" w:hAnsi="Times New Roman"/>
          <w:sz w:val="18"/>
          <w:szCs w:val="18"/>
          <w:color w:val="auto"/>
        </w:rPr>
        <w:t>” means a Hub device integrating the Company technology in compliance with Hub Specifications.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of the following: patents and patent applications (including design patents, divisionals, continuations, continuations-in-part, substitutions, reissues, re-examinations, extensions, restorations of any of the foregoing, and other and similar rights), industrial designs, copyrights or works of authorship (including proprietary rights with respect to software and databases, whether or not copyrightable), and all registrations, applications for registration, and renewals of any of the foregoing, mask work rights, rights with respect to trade secrets, know-how, inventions (whether or not patentable), technology, and other confidential or proprietary information, trademark rights, trade dress rights, and similar rights with respect to indicia of source or origin, rights with respect to data and any other intellectual, proprietary or industrial property rights, whether arising under the laws of the United States or any other jurisdiction.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means all names, branding, marks, logos, artwork, designs, trade dress, and similar materials used to identify a Party, its Affiliates, or its or their products and services.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means any Confidential Information, Intellectual Property, Marks or other materials of any Party or third party, as applicable, in any form or medium (tangible, intangible, oral, written, electronic, observational or other) in which such materials may be communicated or subsist, made available to any other Party (directly or through a Party’s Affiliates, or contractors, or licensors, provided the receiving Party is notified at the time of disclosure by such contractors or licensors that such Materials are the disclosing Party’s Materials) under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joint stock company, unincorporated organization or association, trust, joint venture, association or other organization, whether or not a legal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means the design, development, and all other services, tasks, and responsibilities to be performed by Company under this Agreement, including all services, tasks, and responsibilities inherent in or required for the proper performance, completion, and delivery of the services, tasks, responsibilities, and Deliverables.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Specifications</w:t>
      </w:r>
      <w:r>
        <w:rPr>
          <w:rFonts w:ascii="Times New Roman" w:cs="Times New Roman" w:eastAsia="Times New Roman" w:hAnsi="Times New Roman"/>
          <w:sz w:val="18"/>
          <w:szCs w:val="18"/>
          <w:color w:val="auto"/>
        </w:rPr>
        <w:t>” means the specifications and requirements with respect to a Deliverable as determined by Hub.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 means any approved subcontractor approved by Hub.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COLLABORATION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Integration Activities</w:t>
      </w:r>
      <w:r>
        <w:rPr>
          <w:rFonts w:ascii="Times New Roman" w:cs="Times New Roman" w:eastAsia="Times New Roman" w:hAnsi="Times New Roman"/>
          <w:sz w:val="18"/>
          <w:szCs w:val="18"/>
          <w:color w:val="auto"/>
        </w:rPr>
        <w:t>. Concurrently with the execution of this Agreement, Company agrees to promptly:</w:t>
      </w:r>
    </w:p>
    <w:p>
      <w:pPr>
        <w:spacing w:after="0" w:line="225" w:lineRule="exact"/>
        <w:rPr>
          <w:sz w:val="20"/>
          <w:szCs w:val="20"/>
          <w:color w:val="auto"/>
        </w:rPr>
      </w:pPr>
    </w:p>
    <w:p>
      <w:pPr>
        <w:ind w:left="1540" w:hanging="236"/>
        <w:spacing w:after="0"/>
        <w:tabs>
          <w:tab w:leader="none" w:pos="1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Hub documentation for the Company Background IP not previously delivered by Company to Hub;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integration activities as directed by Hub to integrate the Company technology with the Hub technology, in order to develop Hub-Compliant Devices on the terms set forth herein (the “</w:t>
      </w:r>
      <w:r>
        <w:rPr>
          <w:rFonts w:ascii="Times New Roman" w:cs="Times New Roman" w:eastAsia="Times New Roman" w:hAnsi="Times New Roman"/>
          <w:sz w:val="18"/>
          <w:szCs w:val="18"/>
          <w:u w:val="single" w:color="auto"/>
          <w:color w:val="auto"/>
        </w:rPr>
        <w:t>Integration Activities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Deliverables</w:t>
      </w:r>
      <w:r>
        <w:rPr>
          <w:rFonts w:ascii="Times New Roman" w:cs="Times New Roman" w:eastAsia="Times New Roman" w:hAnsi="Times New Roman"/>
          <w:sz w:val="18"/>
          <w:szCs w:val="18"/>
          <w:color w:val="auto"/>
        </w:rPr>
        <w:t>. Company shall deliver to Hub (i) all Deliverables, together with related source code, documentation, test results, and related Materials in accordance with the applicable schedule and otherwise as set forth in this Agreement; and (ii) any tangible embodiments of the Background IP in a form and manner reasonably requested by Hub. Deliverables shall meet applicable requirements and criteria specified by Hub in all material respects. Company shall test each Deliverable for such conformance prior to delivery and shall provide all such test results to Hub upon request.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Evaluation, Testing, Acceptance and Correction</w:t>
      </w:r>
      <w:r>
        <w:rPr>
          <w:rFonts w:ascii="Times New Roman" w:cs="Times New Roman" w:eastAsia="Times New Roman" w:hAnsi="Times New Roman"/>
          <w:sz w:val="18"/>
          <w:szCs w:val="18"/>
          <w:color w:val="auto"/>
        </w:rPr>
        <w:t>. Evaluation, testing, acceptance, and correction criteria and procedures applicable to Company may be set forth in the applicable requirements and Specifications that are specified by Hub to Company. If a Deliverable fails to meet the requirements or criteria specified in such documents or is not delivered in accordance therewith, Company shall use best efforts to re-perform its obligations as necessary to deliver such Deliverable that meets the applicable requirements and/or criteria.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Advisory Services</w:t>
      </w:r>
      <w:r>
        <w:rPr>
          <w:rFonts w:ascii="Times New Roman" w:cs="Times New Roman" w:eastAsia="Times New Roman" w:hAnsi="Times New Roman"/>
          <w:sz w:val="18"/>
          <w:szCs w:val="18"/>
          <w:color w:val="auto"/>
        </w:rPr>
        <w:t>. Hub shall make certain of its personnel available during Hub standard work hours to respond to inquiries for advice from Company in its performance of Deutsche Bank and ING Bank.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Background IP</w:t>
      </w:r>
      <w:r>
        <w:rPr>
          <w:rFonts w:ascii="Times New Roman" w:cs="Times New Roman" w:eastAsia="Times New Roman" w:hAnsi="Times New Roman"/>
          <w:sz w:val="18"/>
          <w:szCs w:val="18"/>
          <w:color w:val="auto"/>
        </w:rPr>
        <w:t>. As between Company and Hub, each Party shall be the sole and exclusive owner of all right, title and interest in and to its own Background IP. All rights not expressly granted by a Party herein are reserved by such Party.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Fundamental Representation.</w:t>
      </w:r>
      <w:r>
        <w:rPr>
          <w:rFonts w:ascii="Times New Roman" w:cs="Times New Roman" w:eastAsia="Times New Roman" w:hAnsi="Times New Roman"/>
          <w:sz w:val="18"/>
          <w:szCs w:val="18"/>
          <w:color w:val="auto"/>
        </w:rPr>
        <w:t xml:space="preserve"> Company represents that it is the sole and exclusive owner of Company’s Background IP. Company represents that its Background IP does not infringe upon and shall not infringe any third party’s Intellectual Property rights.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Ownership of Deliverables and Intellectual Property</w:t>
      </w:r>
      <w:r>
        <w:rPr>
          <w:rFonts w:ascii="Times New Roman" w:cs="Times New Roman" w:eastAsia="Times New Roman" w:hAnsi="Times New Roman"/>
          <w:sz w:val="18"/>
          <w:szCs w:val="18"/>
          <w:color w:val="auto"/>
        </w:rPr>
        <w:t xml:space="preserve"> Hub shall be the sole and exclusive owner of all right, title and interest in and to the Deliverables, including all Intellectual Property rights therein, and all other Intellectual Property made, invented, developed, created, conceived, or reduced to practice as a result of work conducted pursuant to any collaboration between the Parties under this Agreement (such Intellectual Property, the “</w:t>
      </w:r>
      <w:r>
        <w:rPr>
          <w:rFonts w:ascii="Times New Roman" w:cs="Times New Roman" w:eastAsia="Times New Roman" w:hAnsi="Times New Roman"/>
          <w:sz w:val="18"/>
          <w:szCs w:val="18"/>
          <w:u w:val="single" w:color="auto"/>
          <w:color w:val="auto"/>
        </w:rPr>
        <w:t>Hub IP</w:t>
      </w:r>
      <w:r>
        <w:rPr>
          <w:rFonts w:ascii="Times New Roman" w:cs="Times New Roman" w:eastAsia="Times New Roman" w:hAnsi="Times New Roman"/>
          <w:sz w:val="18"/>
          <w:szCs w:val="18"/>
          <w:color w:val="auto"/>
        </w:rPr>
        <w:t>”). To the extent that Hub is not the owner of any Hub IP automatically on creation thereof, Company hereby (and shall procure that its Affiliates and Subcontractors) transfers and assigns to Hub, without additional consideration, all of its right, title, and interest in and to such Hub IP.</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License to Hub</w:t>
      </w:r>
      <w:r>
        <w:rPr>
          <w:rFonts w:ascii="Times New Roman" w:cs="Times New Roman" w:eastAsia="Times New Roman" w:hAnsi="Times New Roman"/>
          <w:sz w:val="18"/>
          <w:szCs w:val="18"/>
          <w:color w:val="auto"/>
        </w:rPr>
        <w:t>. Company hereby grants Hub a fully paid-up, worldwide, royalty-free, non-exclusive, non-terminable, perpetual, irrevocable, sublicensable (including through multiple tiers) and transferable license under all of Company’s Background IP and any other Intellectual Property owned or controlled by Company at any time during the Term, including the Company Developed IP, whether or not such Intellectual Property is integrated in a Hub-Compliant Device, to use, reproduce, distribute, publicly perform, publicly display, prepare derivative works based on, make, have made, provide, develop, have developed, offer to sell, sell, import, have imported, export, have exported, distribute, otherwise dispose of or otherwise commercially exploit any Hub products or services which may require the use or the exploitation of such Background IP, whereby if but for the license provided herein Hub may be liable for infringement of such Background IP.</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TO PURCHASE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Purchase Option</w:t>
      </w:r>
      <w:r>
        <w:rPr>
          <w:rFonts w:ascii="Times New Roman" w:cs="Times New Roman" w:eastAsia="Times New Roman" w:hAnsi="Times New Roman"/>
          <w:sz w:val="18"/>
          <w:szCs w:val="18"/>
          <w:color w:val="auto"/>
        </w:rPr>
        <w:t>. As a material inducement for Hub’s entry into this Agreement, Hub shall have the exclusive right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at any time between the Effective Date and August 22, 2025 (the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to elect to acquire all of the outstanding share capital of Company or assets of Company to be selected by Hub, in each case, free and clear of any liens (such acquisition,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The consideration payable by Hub at the closing of the Acquisition (the “</w:t>
      </w:r>
      <w:r>
        <w:rPr>
          <w:rFonts w:ascii="Times New Roman" w:cs="Times New Roman" w:eastAsia="Times New Roman" w:hAnsi="Times New Roman"/>
          <w:sz w:val="18"/>
          <w:szCs w:val="18"/>
          <w:u w:val="single" w:color="auto"/>
          <w:color w:val="auto"/>
        </w:rPr>
        <w:t>Acquisition Closing</w:t>
      </w:r>
      <w:r>
        <w:rPr>
          <w:rFonts w:ascii="Times New Roman" w:cs="Times New Roman" w:eastAsia="Times New Roman" w:hAnsi="Times New Roman"/>
          <w:sz w:val="18"/>
          <w:szCs w:val="18"/>
          <w:color w:val="auto"/>
        </w:rPr>
        <w:t>”), if consummated, shall consist of Hub Ordinary Shares, no par value, representing up to thirty percent (30%) of Hub’s outstanding share capital immediately following the Acquisition Closing on a fully-diluted basis, subject to adjustment and further terms and conditions to be set forth in a Definitive Agreement (as defined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Purchase Option may be exercised by Hub in its sole and absolute discretion by delivery of a written notice to Company (the “</w:t>
      </w:r>
      <w:r>
        <w:rPr>
          <w:rFonts w:ascii="Times New Roman" w:cs="Times New Roman" w:eastAsia="Times New Roman" w:hAnsi="Times New Roman"/>
          <w:sz w:val="18"/>
          <w:szCs w:val="18"/>
          <w:u w:val="single" w:color="auto"/>
          <w:color w:val="auto"/>
        </w:rPr>
        <w:t>Exercise Notice</w:t>
      </w:r>
      <w:r>
        <w:rPr>
          <w:rFonts w:ascii="Times New Roman" w:cs="Times New Roman" w:eastAsia="Times New Roman" w:hAnsi="Times New Roman"/>
          <w:sz w:val="18"/>
          <w:szCs w:val="18"/>
          <w:color w:val="auto"/>
        </w:rPr>
        <w:t>”) at any time during the Option Period. The full terms, covenants and conditions of the Acquisition shall be documented in a definitive agreement (a “</w:t>
      </w:r>
      <w:r>
        <w:rPr>
          <w:rFonts w:ascii="Times New Roman" w:cs="Times New Roman" w:eastAsia="Times New Roman" w:hAnsi="Times New Roman"/>
          <w:sz w:val="18"/>
          <w:szCs w:val="18"/>
          <w:u w:val="single" w:color="auto"/>
          <w:color w:val="auto"/>
        </w:rPr>
        <w:t>Definitive Agreement</w:t>
      </w:r>
      <w:r>
        <w:rPr>
          <w:rFonts w:ascii="Times New Roman" w:cs="Times New Roman" w:eastAsia="Times New Roman" w:hAnsi="Times New Roman"/>
          <w:sz w:val="18"/>
          <w:szCs w:val="18"/>
          <w:color w:val="auto"/>
        </w:rPr>
        <w:t>”), including a voting agreement to be executed by Shefa Capital (“</w:t>
      </w:r>
      <w:r>
        <w:rPr>
          <w:rFonts w:ascii="Times New Roman" w:cs="Times New Roman" w:eastAsia="Times New Roman" w:hAnsi="Times New Roman"/>
          <w:sz w:val="18"/>
          <w:szCs w:val="18"/>
          <w:u w:val="single" w:color="auto"/>
          <w:color w:val="auto"/>
        </w:rPr>
        <w:t>Shefa</w:t>
      </w:r>
      <w:r>
        <w:rPr>
          <w:rFonts w:ascii="Times New Roman" w:cs="Times New Roman" w:eastAsia="Times New Roman" w:hAnsi="Times New Roman"/>
          <w:sz w:val="18"/>
          <w:szCs w:val="18"/>
          <w:color w:val="auto"/>
        </w:rPr>
        <w:t>”) in support of the Definitive Agreement and the Acquisition, to be mutually agreed upon and approved by the Parties as soon as practicable following Hub’s delivery of the Exercise Notice. The Company represents and warrants that other than the approval of entities affiliated with Shefa, no approval from any other securityholder of the Company is required to enter into the Definitive Agreement and effectuate the Acquisition. For the avoidance of doubt, neither the execution of this Agreement nor the exercise of the Purchase Option by Hub shall impose any obligation on Hub to enter into any Definitive Agreement.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Covenant to Perform</w:t>
      </w:r>
      <w:r>
        <w:rPr>
          <w:rFonts w:ascii="Times New Roman" w:cs="Times New Roman" w:eastAsia="Times New Roman" w:hAnsi="Times New Roman"/>
          <w:sz w:val="18"/>
          <w:szCs w:val="18"/>
          <w:color w:val="auto"/>
        </w:rPr>
        <w:t>. From the Effective Date until the earlier of (i) the lapse of the Option Period, (ii) the date of the Acquisition Closing and (iii) the termination of this Agreement pursuant to ‎Section 5.03 (so long as Company is not also in breach of this Agreement at such time of termination) due to a breach by Hub, (a) Company shall use its best efforts to enable the Acquisition Closing to occur, (b) Company shall, and shall cause its Affiliates and representatives to, immediately cease all discussions, negotiations and communications with any Persons with respect to any Company Acquisition Proposal, (c) Company shall cooperate with and assist Hub in its due diligence of the Company in connection with the Acquisition, including, without limitation, providing information and making available documents and senior corporate officers, (d) Company shall not, and shall cause its Affiliates and representatives not to, directly or indirectly, (1) initiate, seek, solicit, facilitate or encourage (including by way of furnishing any information) the making or submission of a Company Acquisition Proposal, (2) enter into or engage in any negotiations or discussions with, or provide any information to, or afford access to the business, properties, assets, books, records or personnel of Company or any of its Affiliates to, any Person (other than Hub or any of its representatives) relating to or for the purpose of encouraging or facilitating any Company Acquisition Proposal (other than to state that the terms of this Agreement prohibit such discussions) or (3) grant any waiver or release under any standstill or similar agreement, (e) Company shall not provide any third party and shall, immediately following the execution of this Agreement, terminate access of any Person who has access to any data room (virtual or actual), other than Hub or any of its representatives and (f) within one (1) day of the date of this Agreement, Company shall demand the return or destruction of all confidential, non-public information and materials that have been provided to Persons that have entered into confidentiality agreements relating to a possible Company Acquisition Proposal with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2959100</wp:posOffset>
            </wp:positionH>
            <wp:positionV relativeFrom="paragraph">
              <wp:posOffset>-1809115</wp:posOffset>
            </wp:positionV>
            <wp:extent cx="5708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be effective from the Effective Date and terminate automatically at the earlier of (i) the date of the Acquisition Closing, and (ii) until terminated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‎Section 5.04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-48260</wp:posOffset>
            </wp:positionV>
            <wp:extent cx="5708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Termination by Hub</w:t>
      </w:r>
      <w:r>
        <w:rPr>
          <w:rFonts w:ascii="Times New Roman" w:cs="Times New Roman" w:eastAsia="Times New Roman" w:hAnsi="Times New Roman"/>
          <w:sz w:val="18"/>
          <w:szCs w:val="18"/>
          <w:color w:val="auto"/>
        </w:rPr>
        <w:t>. Hub may terminate this Agreement in its entirety immediately upon notice to Company if Company: (i) is dissolved or liquidated or takes any corporate action for such purpose; (ii) becomes insolvent or is generally unable to pay, or fails to pay, its debts as they become due; (iii) files or has filed against it a petition for voluntary or involuntary bankruptcy or otherwise becomes subject, voluntarily or involuntarily, to any proceeding under any domestic or foreign bankruptcy or insolvency law; (iv) makes or seeks to make a general assignment for the benefit of creditors;</w:t>
      </w:r>
    </w:p>
    <w:p>
      <w:pPr>
        <w:spacing w:after="0" w:line="3" w:lineRule="exact"/>
        <w:rPr>
          <w:sz w:val="20"/>
          <w:szCs w:val="20"/>
          <w:color w:val="auto"/>
        </w:rPr>
      </w:pPr>
    </w:p>
    <w:p>
      <w:pPr>
        <w:jc w:val="both"/>
        <w:ind w:firstLine="8"/>
        <w:spacing w:after="0" w:line="252" w:lineRule="auto"/>
        <w:tabs>
          <w:tab w:leader="none" w:pos="26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applies for or has a receiver, trustee, custodian, or similar agent appointed by order of any court of competent jurisdiction to take charge of or sell any material portion of its property or business; (vi) suspends or ceases, or in Hub’s reasonable opinion is likely to suspend or cease, carrying on all or a substantial part of its business relating to the services applicable hereunder; (vii) assigns or attempts to assign this Agreement to any third-party without Hub’s prior written consent; (viii) undergoes a change of control whereby the ownership of more than 25% of Company’s outstanding debt or equity is transferred or otherwise under the control of a third-party; or (ix) fails to integrate the Company technology with the Hub technology pursuant to this Agreement in a manner reasonably acceptable to Hub.</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Mutual Termination</w:t>
      </w:r>
      <w:r>
        <w:rPr>
          <w:rFonts w:ascii="Times New Roman" w:cs="Times New Roman" w:eastAsia="Times New Roman" w:hAnsi="Times New Roman"/>
          <w:sz w:val="18"/>
          <w:szCs w:val="18"/>
          <w:color w:val="auto"/>
        </w:rPr>
        <w:t xml:space="preserve">. Either Party may terminate this Agreement in its entirety for a material breach by the other Party, so long as notice and time to cure of forty-five (45) Business Days are provided and have lapsed;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the event of a breach by Company of the representations and warranties in ‎Section 3.02, Hub may terminate this Agreement in its entirety with immediate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-38735</wp:posOffset>
            </wp:positionV>
            <wp:extent cx="5708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Effect of Termination of Agreement</w:t>
      </w:r>
      <w:r>
        <w:rPr>
          <w:rFonts w:ascii="Times New Roman" w:cs="Times New Roman" w:eastAsia="Times New Roman" w:hAnsi="Times New Roman"/>
          <w:sz w:val="18"/>
          <w:szCs w:val="18"/>
          <w:color w:val="auto"/>
        </w:rPr>
        <w:t xml:space="preserve">. Notwithstanding anything contained herein, on termination or expiry of this Agreement for any reason (except automatic termination in accordance with </w:t>
      </w:r>
      <w:r>
        <w:rPr>
          <w:rFonts w:ascii="Times New Roman" w:cs="Times New Roman" w:eastAsia="Times New Roman" w:hAnsi="Times New Roman"/>
          <w:sz w:val="18"/>
          <w:szCs w:val="18"/>
          <w:u w:val="single" w:color="auto"/>
          <w:color w:val="auto"/>
        </w:rPr>
        <w:t>Section 5.01(i)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540" w:hanging="236"/>
        <w:spacing w:after="0"/>
        <w:tabs>
          <w:tab w:leader="none" w:pos="1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licenses granted under Section‎ 3.04 shall survive such termination;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immediately cease use of and access to Hub’s Materials and immediately return or, if so requested by Hub, destroy all Materials that Company possesses or controls belonging to Hub;</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deliver to Hub all Deliverables (including related documentation) and all work-in-progress related to any ongoing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and</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Hub elects to terminate pursuant to Section‎ 5.02, Company shall cooperate with Hub to develop and implement a transition plan and provide to Hub any reasonable termination assistance services requested to facilitate the orderly transfer of the Services and all Deliverables and work-in-progress to Hub or its designees.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-1410335</wp:posOffset>
            </wp:positionV>
            <wp:extent cx="5708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-313055</wp:posOffset>
            </wp:positionV>
            <wp:extent cx="5797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8">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Both Parties shall maintain as confidential and shall not disclose to any third party or copy or use in any manner other than for the performance of its rights or obligations under this Agreement (a) any and all information or materials disclosed by one Party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to the other Party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that is not generally available to the public and that is designated as confidential by the Disclosing Party and/or its Affiliates or that would reasonably be understood by the Receiving Party to be proprietary or confidential to the Disclosing Party, in any form or medium (tangible, intangible, oral, written, electronic, observational or other)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Each Party agrees to protect the other Party’s Confidential Information with the same degree of care it exercises to protect its own Confidential Information (but in no event less than a reasonable standard of care) and to prevent the unauthorized use, disclosure or publication thereof. The Receiving Party may disclose Confidential Information of the Disclosing Party only to its own employees or designated representative having a need to know for purposes of the Receiving Party’s performance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individuals receiving the Confidential Information shall be bound by the terms of this provision. Upon any expiration or termination of this Agreement or upon either Parties request, the other Party shall return or destroy all Confidential Information and any copies thereof. The restrictions in this ‎Article VI shall survive termination or expiry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-28575</wp:posOffset>
            </wp:positionV>
            <wp:extent cx="4660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9">
                      <a:extLst>
                        <a:ext uri="{28A0092B-C50C-407E-A947-70E740481C1C}"/>
                      </a:extLst>
                    </a:blip>
                    <a:srcRect/>
                    <a:stretch>
                      <a:fillRect/>
                    </a:stretch>
                  </pic:blipFill>
                  <pic:spPr bwMode="auto">
                    <a:xfrm>
                      <a:off x="0" y="0"/>
                      <a:ext cx="466090"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The restrictions on use and disclosure in Section‎ 6.01 shall not apply to information that the Disclosing Party can demonstrate (a) is or becomes generally available to the public without the Disclosing Party’s breach of this Agreement, (b) was known to the Disclosing Party at the time of its receipt from the Receiving Party without an obligation of confidentiality with respect to such information owed to the Receiving Party, (c) was rightfully disclosed to the Disclosing Party by a third party without an obligation of confidentiality with respect to such information owed to the Receiving Party, or (d) was independently developed by the Disclosing Party without use of or reference to Confidential Information. The Disclosing Party may disclose Confidential Information to the extent required to comply with binding orders of governmental entities that have jurisdiction over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Disclosing Party (x) gives the Receiving Party reasonable notice (to the extent permitted by law) to allow the Receiving Party to seek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protective order or other appropriate remedy and provides reasonable assistance in connection therewith, (y) discloses only such information as is required by the governmental entity, and (z) uses its best efforts to obtain confidential treatment for any Confidential Information so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-1128395</wp:posOffset>
            </wp:positionV>
            <wp:extent cx="5797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1">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Each Party represents and warrants that it has the corporate power and authority to enter into this Agreement and to perform its obligations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Company represents, warrants and covenants that:</w:t>
      </w:r>
    </w:p>
    <w:p>
      <w:pPr>
        <w:spacing w:after="0" w:line="225" w:lineRule="exact"/>
        <w:rPr>
          <w:sz w:val="20"/>
          <w:szCs w:val="20"/>
          <w:color w:val="auto"/>
        </w:rPr>
      </w:pPr>
    </w:p>
    <w:p>
      <w:pPr>
        <w:ind w:firstLine="1304"/>
        <w:spacing w:after="0" w:line="282" w:lineRule="auto"/>
        <w:tabs>
          <w:tab w:leader="none" w:pos="15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or its Affiliates owns or has an appropriate license to all Intellectual Property provided to provide the Services and Deliverables, including any Intellectual Property owned or controlled by a third party;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its employees and Subcontractors have properly assigned any right it may have or may have had at any time in or to the Deliverables and any Intellectual Property rights contained therein; and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comply with applicable laws and regulations, as well as all applicable Hub policies provided to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Company shall, in relation to the obligations allocated to it in accordance with this Agreement: (a) perform such obligations, including by providing the Services and Deliverables in accordance with timeframes or milestones (if any); (b) assign employees with suitable qualifications as required to perform any Services to high professional standards; (c) use reasonable care and skill and comply with good industry practice in performing such obligations; (d) comply with all laws applicable to it; (e) obtain and maintain consents, licenses and permissions (statutory, regulatory, contractual or otherwise) that are necessary to enable it to comply with such obligations; and (f) ensure that the inputs it provides conform with descriptions and Specifications (if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Notification of Security Breach</w:t>
      </w:r>
      <w:r>
        <w:rPr>
          <w:rFonts w:ascii="Times New Roman" w:cs="Times New Roman" w:eastAsia="Times New Roman" w:hAnsi="Times New Roman"/>
          <w:sz w:val="18"/>
          <w:szCs w:val="18"/>
          <w:color w:val="auto"/>
        </w:rPr>
        <w:t>. Company shall notify Hub immediately following the discovery of any incident that involves or reasonably may involve the unauthorized access, use, disclosure, or loss of any of Hub’s Materials or any other suspected breach or compromise of the security, confidentiality or integrity of Hub’s Materials and shall not communicate with any third party, including but not limited to the media, vendors, consumers and affected individuals regarding any such security incident without the express written consent and direction of Hub.</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Site and System Access</w:t>
      </w:r>
      <w:r>
        <w:rPr>
          <w:rFonts w:ascii="Times New Roman" w:cs="Times New Roman" w:eastAsia="Times New Roman" w:hAnsi="Times New Roman"/>
          <w:sz w:val="18"/>
          <w:szCs w:val="18"/>
          <w:color w:val="auto"/>
        </w:rPr>
        <w:t>. If Company (or any employee, contractor, agent, or authorized Subcontractor acting on such Party’s behalf in connection with this Agreement) (an “</w:t>
      </w:r>
      <w:r>
        <w:rPr>
          <w:rFonts w:ascii="Times New Roman" w:cs="Times New Roman" w:eastAsia="Times New Roman" w:hAnsi="Times New Roman"/>
          <w:sz w:val="18"/>
          <w:szCs w:val="18"/>
          <w:u w:val="single" w:color="auto"/>
          <w:color w:val="auto"/>
        </w:rPr>
        <w:t>Accessing Party</w:t>
      </w:r>
      <w:r>
        <w:rPr>
          <w:rFonts w:ascii="Times New Roman" w:cs="Times New Roman" w:eastAsia="Times New Roman" w:hAnsi="Times New Roman"/>
          <w:sz w:val="18"/>
          <w:szCs w:val="18"/>
          <w:color w:val="auto"/>
        </w:rPr>
        <w:t>”) is granted access to any (a) facility or location of Hub (each a “</w:t>
      </w:r>
      <w:r>
        <w:rPr>
          <w:rFonts w:ascii="Times New Roman" w:cs="Times New Roman" w:eastAsia="Times New Roman" w:hAnsi="Times New Roman"/>
          <w:sz w:val="18"/>
          <w:szCs w:val="18"/>
          <w:u w:val="single" w:color="auto"/>
          <w:color w:val="auto"/>
        </w:rPr>
        <w:t>Site</w:t>
      </w:r>
      <w:r>
        <w:rPr>
          <w:rFonts w:ascii="Times New Roman" w:cs="Times New Roman" w:eastAsia="Times New Roman" w:hAnsi="Times New Roman"/>
          <w:sz w:val="18"/>
          <w:szCs w:val="18"/>
          <w:color w:val="auto"/>
        </w:rPr>
        <w:t>”) or (b) Hub’s systems, networks, databases, computers, telecommunications or other information systems owned, controlled or operated by or on the other Party’s behalf (collectively, “</w:t>
      </w:r>
      <w:r>
        <w:rPr>
          <w:rFonts w:ascii="Times New Roman" w:cs="Times New Roman" w:eastAsia="Times New Roman" w:hAnsi="Times New Roman"/>
          <w:sz w:val="18"/>
          <w:szCs w:val="18"/>
          <w:u w:val="single" w:color="auto"/>
          <w:color w:val="auto"/>
        </w:rPr>
        <w:t>Systems</w:t>
      </w:r>
      <w:r>
        <w:rPr>
          <w:rFonts w:ascii="Times New Roman" w:cs="Times New Roman" w:eastAsia="Times New Roman" w:hAnsi="Times New Roman"/>
          <w:sz w:val="18"/>
          <w:szCs w:val="18"/>
          <w:color w:val="auto"/>
        </w:rPr>
        <w:t>”), then such access is subject to the Accessing Party’s and that employee’s, contractor’s, agent’s or authorized Subcontractor’s compliance with all then-current policies of Hub. Any access to any Sites or Systems is strictly for the purpose of the Accessing Party’s performance of the Services during the Term.</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Company shall regularly test and monitor security procedures and systems required in the performance of this Agreement and shall make such reviews available to Hub upon reasonable request. Company shall maintain (and shall cause its Subcontractors who are directly involved in performing Deliverables and/or who have access to Hub’s Materials) to maintain, industry standard written records for its business for at least three years after the period to which the records relate.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Security of Covenant to Perform</w:t>
      </w:r>
      <w:r>
        <w:rPr>
          <w:rFonts w:ascii="Times New Roman" w:cs="Times New Roman" w:eastAsia="Times New Roman" w:hAnsi="Times New Roman"/>
          <w:sz w:val="18"/>
          <w:szCs w:val="18"/>
          <w:color w:val="auto"/>
        </w:rPr>
        <w:t>. Company hereby grants to Hub, for Hub’s exclusive benefit, a first ranking fixed charge and pledge in all of Company’s right, title and interest to the Company Background IP (the “</w:t>
      </w:r>
      <w:r>
        <w:rPr>
          <w:rFonts w:ascii="Times New Roman" w:cs="Times New Roman" w:eastAsia="Times New Roman" w:hAnsi="Times New Roman"/>
          <w:sz w:val="18"/>
          <w:szCs w:val="18"/>
          <w:u w:val="single" w:color="auto"/>
          <w:color w:val="auto"/>
        </w:rPr>
        <w:t>Pledge</w:t>
      </w:r>
      <w:r>
        <w:rPr>
          <w:rFonts w:ascii="Times New Roman" w:cs="Times New Roman" w:eastAsia="Times New Roman" w:hAnsi="Times New Roman"/>
          <w:sz w:val="18"/>
          <w:szCs w:val="18"/>
          <w:color w:val="auto"/>
        </w:rPr>
        <w:t>”) as a partial security for the monetary damage that may be caused to Hub and its business in the event of a breach by Company of its obligations under ‎Section 4.03, as detailed in the IP Security Agreement.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-24130</wp:posOffset>
            </wp:positionV>
            <wp:extent cx="5708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8"/>
          <w:szCs w:val="18"/>
          <w:color w:val="auto"/>
        </w:rPr>
        <w:t>any breach of Company’s obligations under ‎Section 4.03, or in any other circumstances permitted under the IP Security Agreement, Hub shall have the right to realize the Pledge and take full possession and ownership of the Company Background IP. The Pledge shall automatically terminate on the earlier of (i) the lapse of the Option Period, (ii) the date of the Acquisition Closing and (iii) the termination of this Agreement pursuant to ‎Section 5.03 (so long as Company is not also in breach of this Agreement at such time of termination) due to a breach by Hub. Company further covenants to execute any document or do any act or thing which in the reasonable determination of Hub is necessary to create, perfect, register or give effect to the Pledge and the realization thereof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-716280</wp:posOffset>
            </wp:positionV>
            <wp:extent cx="5797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4">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-441960</wp:posOffset>
            </wp:positionV>
            <wp:extent cx="5708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5">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EXCEPT FOR (I) COMPANY’S INFRINGEMENT OF INTELLECTUAL PROPERTY RIGHTS; (II) COMPANY’S BREACH OF ‎Article VI (CONFIDENTIALITY); OR (III) CLAIMS UNDER THE INDEMNIFICATION OBLIGATIONS IN ‎</w:t>
      </w:r>
      <w:r>
        <w:rPr>
          <w:rFonts w:ascii="Times New Roman" w:cs="Times New Roman" w:eastAsia="Times New Roman" w:hAnsi="Times New Roman"/>
          <w:sz w:val="18"/>
          <w:szCs w:val="18"/>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-24765</wp:posOffset>
            </wp:positionV>
            <wp:extent cx="4832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6">
                      <a:extLst>
                        <a:ext uri="{28A0092B-C50C-407E-A947-70E740481C1C}"/>
                      </a:extLst>
                    </a:blip>
                    <a:srcRect/>
                    <a:stretch>
                      <a:fillRect/>
                    </a:stretch>
                  </pic:blipFill>
                  <pic:spPr bwMode="auto">
                    <a:xfrm>
                      <a:off x="0" y="0"/>
                      <a:ext cx="483235" cy="8890"/>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9.02</w:t>
      </w:r>
      <w:r>
        <w:rPr>
          <w:rFonts w:ascii="Times New Roman" w:cs="Times New Roman" w:eastAsia="Times New Roman" w:hAnsi="Times New Roman"/>
          <w:sz w:val="18"/>
          <w:szCs w:val="18"/>
          <w:color w:val="auto"/>
        </w:rPr>
        <w:t>; NEITHER PARTY SHALL BE LIABLE FOR ANY INDIRECT, SPECIAL, INCIDENTAL, CONSEQUENTIAL, EXEMPLARY OR PUNITIVE DAMAGES, REGARDLESS OF THE FORM OF ACTION WHETHER IN CONTRACT, TORT (INCLUDING NEGLIGENCE), STRICT LIABILITY, OR OTHERWISE, EVEN IF SUCH PARTY HAS BEEN ADVISED OF THE POSSIBILITY OF SUCH DAMAGES.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Indemnification by Company</w:t>
      </w:r>
      <w:r>
        <w:rPr>
          <w:rFonts w:ascii="Times New Roman" w:cs="Times New Roman" w:eastAsia="Times New Roman" w:hAnsi="Times New Roman"/>
          <w:sz w:val="18"/>
          <w:szCs w:val="18"/>
          <w:color w:val="auto"/>
        </w:rPr>
        <w:t>. Company shall indemnify, defend and hold Hub and its Affiliates (including their respective directors, officers, employees, and agents) harmless from any and all awards, damages, losses, liabilities, obligations and costs (including attorney’s fees) arising from any claim or action by a third party against Hub, its Affiliates, or their respective employees, officers, directors, contractors, agents, and customers that is based on (a) Company’s breach of any covenant, obligation, representation or warranty under this Agreement; (b) any infringement or misappropriation of any Intellectual Property of any third party by Company’s (or its agents’) contributions to the Hub-Compliant Devices or of any Services or Deliverables provided by Company under this Agreement, or their use as contemplated under this Agreement (including the manufacture and supply of the Hub-Compliant Devices for mass production); (c) product liability attributable to Company; (d) any claim asserted by Company’s employees or Subcontractors (or former Company employees or Subcontractors in connection with work performed while employed or engaged by Company); or (e) gross negligence or willful misconduct.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Claim Assistance; Procedure</w:t>
      </w:r>
      <w:r>
        <w:rPr>
          <w:rFonts w:ascii="Times New Roman" w:cs="Times New Roman" w:eastAsia="Times New Roman" w:hAnsi="Times New Roman"/>
          <w:sz w:val="18"/>
          <w:szCs w:val="18"/>
          <w:color w:val="auto"/>
        </w:rPr>
        <w:t>. Hub shall timely provide such assistance and information as may reasonably be requested by Company in connection with its defense against any claim or action by a third party against it, its Affiliates, or their respective employees, officers, directors, contractors, agents, and customers that is based on any claim for which Hub is entitled to indemnification under ‎Section 9.02 (an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Hub shall (a) promptly notify Company in writing of any allegations that preceded the legal proceeding or claim, and (b) tender sole control of the indemnified portion of the legal proceeding or claim to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failure by Hub to perform such actions set out in clauses (a) and (b) of this sentence shall not relieve Company from any liability hereunder unless such failure materially prejudices Company. Company shall not enter into any settlement of any such claim or legal proceeding without the written consent of Hub, not to be unreasonably withheld or delayed. If Company assumes the defense without Hub’s participation in accordance with the preceding sentence, then Company shall be solely responsible for any costs and expenses of its separate attorneys’ fees and expenses, court costs and other litigation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5730875</wp:posOffset>
            </wp:positionH>
            <wp:positionV relativeFrom="paragraph">
              <wp:posOffset>-854075</wp:posOffset>
            </wp:positionV>
            <wp:extent cx="5708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Negotiation and Escalation</w:t>
      </w:r>
      <w:r>
        <w:rPr>
          <w:rFonts w:ascii="Times New Roman" w:cs="Times New Roman" w:eastAsia="Times New Roman" w:hAnsi="Times New Roman"/>
          <w:sz w:val="18"/>
          <w:szCs w:val="18"/>
          <w:color w:val="auto"/>
        </w:rPr>
        <w:t>. Without prejudice to ‎Section 10.02, in the event of a dispute under this Agreement that the project managers are unable to resolve after good faith discussions, the Parties shall, upon request by either Party, escalate the dispute by requesting that senior management-level representatives of the Parties meet to discuss and attempt to resolve the dispute in good faith for a period of no less than thirty (30) days. If, after thirty (30) days, the Parties remain unable to dissolve such dispute, ‎Section 10.02 below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-448310</wp:posOffset>
            </wp:positionV>
            <wp:extent cx="6369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9">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-36830</wp:posOffset>
            </wp:positionV>
            <wp:extent cx="6286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0">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Agreement shall be governed and construed under the laws of the State of Israel without regard to conflicts of law provisions. Except as otherwise set forth in ‎Section 10.06, the Parties hereby submit to the sole and exclusive jurisdiction of, and waive any venue objections against, the courts of Tel Aviv, Israel with respect to all disputes arising under or relating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-175895</wp:posOffset>
            </wp:positionV>
            <wp:extent cx="6286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Intellectual Property Under Bankruptcy</w:t>
      </w:r>
      <w:r>
        <w:rPr>
          <w:rFonts w:ascii="Times New Roman" w:cs="Times New Roman" w:eastAsia="Times New Roman" w:hAnsi="Times New Roman"/>
          <w:sz w:val="18"/>
          <w:szCs w:val="18"/>
          <w:color w:val="auto"/>
        </w:rPr>
        <w:t>. Each Party agrees, on behalf of itself and its Affiliates, that all rights and licenses granted under or pursuant to this Agreement are, and shall otherwise be deemed to be, licenses for rights to “intellectual property” for purposes of Section 365(n) of the United States Bankruptcy Code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or any similar provision under applicable law of any other jurisdiction. The Parties agree that the licensee of such rights under this Agreement shall retain and may fully exercise all of its rights and elections under applicable law. The Parties further agree that, in the event of the commencement of bankruptcy proceedings by or against a Party under applicable law, the licensee shall be entitled to retain all of its Intellectual Property Rights under this Agreement. In addition, the Parties understand and agree that this Agreement shall be construed as “supplementary” agreements pursuant to Section 365(n) of the Bankruptcy Code or any similar provisions of applicable laws under any other jurisdiction. Neither Party nor any of its Affiliates may (and each Party, on behalf of itself and its Affiliates, hereby irrevocably waives any right to) object to or challenge any assertion of and reliance on the matters described in the preceding sentence by the other Party.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Language; Interpretation; Currency</w:t>
      </w:r>
      <w:r>
        <w:rPr>
          <w:rFonts w:ascii="Times New Roman" w:cs="Times New Roman" w:eastAsia="Times New Roman" w:hAnsi="Times New Roman"/>
          <w:sz w:val="18"/>
          <w:szCs w:val="18"/>
          <w:color w:val="auto"/>
        </w:rPr>
        <w:t>. This Agreement is executed in English only. Any translation of this Agreement into another language shall be for reference only and without legal effect. The Parties have fully negotiated this Agreement, and it shall be interpreted according to the plain meaning of its terms without a presumption that it should be construed for or against either Party. Unless otherwise expressly stated, “including” and “e.g.” are not exclusive or limiting; “Section” refers to sections of this Agreement; “days” refers to consecutive calendar days including Saturdays, Sundays and holidays; and “Exhibit” refers to the Exhibits to this Agreement. Section headings are for ease of reference only and are not to be used to interpret the meaning of any provision. Any consent required from Hub under this Agreement may be granted or withheld by Hub in its sole and absolute discretion.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in writing to the contacts set forth below and shall be deemed given: (i) upon receipt if by personal delivery; (ii) upon receipt if sent by certified or registered U.S. Mail (return receipt requested); or (iii) one (1) day after it is sent if by next day delivery by a major commercial delivery service or by electronic mail.</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Hub:</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HUB Cyber Security Ltd.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Kaplan 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 Aviv 6473403, Israel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 +972-3-924-4074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Osher Partok Rheinisch, Chief Legal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osher.p.rheinisch@hubsecurity.io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Goldfarb, Gross, Seligman &amp;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Azrieli Center, Round Building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Tel-Aviv 67021, Israel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Adam M. Klein; Daniel P. Kahn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adam.klein@goldfarb.com; daniel.kahn@goldfarb.com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BlackSwan Technologies,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150 Menachem Begin Rd.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Tel-Aviv 6492128, Israel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Ranan Grobman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ranan@shefacap.com</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Company acknowledges that any unauthorized disclosure or use of Hub’s Materials will cause irreparable harm and significant injury to the other Party, the full extent of which will be difficult to ascertain, for which damages are an inadequate remedy and for which there will be no other adequate remedy at law. Each Party further acknowledges that the restrictions and other obligations under this Agreement are reasonable and necessary to protect Hub’s interests and rights in its Materials, the Hub technology and the Hub-Compliant Devices. Accordingly, Company agrees that Hub, in addition to any other available remedies, shall have the right to an immediate injunction and other equitable relief to enforce such restrictions and other obligations, and to enjoin any breach or threatened breach of this Agreement, without the necessity of posting any bond or other security. Hub may apply to any court of competent jurisdiction for such an injunction or other equitable relief at any time.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Severability; Modification; Waiver</w:t>
      </w:r>
      <w:r>
        <w:rPr>
          <w:rFonts w:ascii="Times New Roman" w:cs="Times New Roman" w:eastAsia="Times New Roman" w:hAnsi="Times New Roman"/>
          <w:sz w:val="18"/>
          <w:szCs w:val="18"/>
          <w:color w:val="auto"/>
        </w:rPr>
        <w:t>. If any provision of this Agreement is not enforceable, then it shall be deemed modified as necessary to make it enforceable. If the provision cannot be made enforceable, it shall be deemed severed, and the rest of this Agreement shall remain in full force and effect. This Agreement may be modified only by an agreement written in English and signed in a non-electronic form by the authorized representatives of Company and Hub. No waiver of a right under this Agreement shall be effective unless written in English and signed in a nonelectronic form by the duly authorized representative of the waiving Party.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Company may not assign, including by change of control, this Agreement without the prior written consent of Hub and any attempt to do so shall be null and void. Hub may freely assign this Agreement to any affiliate or any third party in connection with the sale or transfer of any assets to which this Agreement relates without the prior written consent of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Modification; Waiver</w:t>
      </w:r>
      <w:r>
        <w:rPr>
          <w:rFonts w:ascii="Times New Roman" w:cs="Times New Roman" w:eastAsia="Times New Roman" w:hAnsi="Times New Roman"/>
          <w:sz w:val="18"/>
          <w:szCs w:val="18"/>
          <w:color w:val="auto"/>
        </w:rPr>
        <w:t>. This Agreement may be modified only by an agreement written in English and signed in a non-electronic form by the authorized representatives of Company and Hub. No waiver of a right under this Agreement shall be effective unless written in English and signed in a nonelectronic form by the duly authorized representative of the waiving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9" w:name="page170"/>
    <w:bookmarkEnd w:id="16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The Parties are independent contractors. This Agreement shall not create an employment relationship, partnership, joint venture, or other relationship between the Parties. Neither Party has authority to assume or create obligations on behalf of the other Party.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in breach of this Agreement nor liable for delay in performing, or failure to perform, any of its obligations under this Agreement if such delay or failure result from events, circumstances or causes beyond its reasonable control. In such circumstances the affected Party shall be entitled to a reasonable extension of the time for performing such obligations. If the period of delay or non-performance continues for 8 weeks, the Party not affected may terminate this Agreement by giving 30 days’ written notice to the affected Party.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Export Control</w:t>
      </w:r>
      <w:r>
        <w:rPr>
          <w:rFonts w:ascii="Times New Roman" w:cs="Times New Roman" w:eastAsia="Times New Roman" w:hAnsi="Times New Roman"/>
          <w:sz w:val="18"/>
          <w:szCs w:val="18"/>
          <w:color w:val="auto"/>
        </w:rPr>
        <w:t>. Each Party acknowledges that the Deliverables and Materials are subject to export controls under U.S. and other applicable government laws and regulations. Each Party shall comply with all applicable export laws and regulations of all jurisdictions with respect to the Deliverables and Materials or their export, re-export, import, transfer, distribution, use and servicing, and any other similar laws and regulations of any jurisdiction, and obtain, at its own expense, any required permits or export clearances, copies of which such Party shall provide to the other Party upon request. Each Party shall certify that it shall not, directly or indirectly, export, re-export, or transport Deliverables and the Materials, or any parts or copies thereof, in such manner as to violate such laws and regulations in effect from time to time. Each Party shall not transfer the Deliverables or the Materials to any entity listed on a denial order published by any governmental entity, or a country subject to sanctions, without first obtaining a license or authorization. Each Party shall not use or transfer Deliverables or the Materials for purposes prohibited by any governmental entity, including, without limitation, the development, design, manufacture, or production of nuclear, missile, chemical or biological weapons, unless authorized by a specific license or authorization.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Article‎ I (Definitions), Section‎ 3.01 (Background IP), Section‎ 3.03 (Ownership of Deliverables and Intellectual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-7620</wp:posOffset>
            </wp:positionV>
            <wp:extent cx="4095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5">
                      <a:extLst>
                        <a:ext uri="{28A0092B-C50C-407E-A947-70E740481C1C}"/>
                      </a:extLst>
                    </a:blip>
                    <a:srcRect/>
                    <a:stretch>
                      <a:fillRect/>
                    </a:stretch>
                  </pic:blipFill>
                  <pic:spPr bwMode="auto">
                    <a:xfrm>
                      <a:off x="0" y="0"/>
                      <a:ext cx="409575" cy="8255"/>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-7620</wp:posOffset>
            </wp:positionV>
            <wp:extent cx="5969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6">
                      <a:extLst>
                        <a:ext uri="{28A0092B-C50C-407E-A947-70E740481C1C}"/>
                      </a:extLst>
                    </a:blip>
                    <a:srcRect/>
                    <a:stretch>
                      <a:fillRect/>
                    </a:stretch>
                  </pic:blipFill>
                  <pic:spPr bwMode="auto">
                    <a:xfrm>
                      <a:off x="0" y="0"/>
                      <a:ext cx="596900"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-7620</wp:posOffset>
            </wp:positionV>
            <wp:extent cx="5969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7">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Property), Section‎ 3.04 (License to Hub),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(Effect of Termination of Agreement), Article‎ VI (Confidentiality), Article‎ VII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5797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8">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-19050</wp:posOffset>
            </wp:positionV>
            <wp:extent cx="4749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9">
                      <a:extLst>
                        <a:ext uri="{28A0092B-C50C-407E-A947-70E740481C1C}"/>
                      </a:extLst>
                    </a:blip>
                    <a:srcRect/>
                    <a:stretch>
                      <a:fillRect/>
                    </a:stretch>
                  </pic:blipFill>
                  <pic:spPr bwMode="auto">
                    <a:xfrm>
                      <a:off x="0" y="0"/>
                      <a:ext cx="474980" cy="8255"/>
                    </a:xfrm>
                    <a:prstGeom prst="rect">
                      <a:avLst/>
                    </a:prstGeom>
                    <a:noFill/>
                  </pic:spPr>
                </pic:pic>
              </a:graphicData>
            </a:graphic>
          </wp:anchor>
        </w:drawing>
        <w:drawing>
          <wp:anchor simplePos="0" relativeHeight="251657728" behindDoc="1" locked="0" layoutInCell="0" allowOverlap="1">
            <wp:simplePos x="0" y="0"/>
            <wp:positionH relativeFrom="column">
              <wp:posOffset>5771515</wp:posOffset>
            </wp:positionH>
            <wp:positionV relativeFrom="paragraph">
              <wp:posOffset>-19050</wp:posOffset>
            </wp:positionV>
            <wp:extent cx="5213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0">
                      <a:extLst>
                        <a:ext uri="{28A0092B-C50C-407E-A947-70E740481C1C}"/>
                      </a:extLst>
                    </a:blip>
                    <a:srcRect/>
                    <a:stretch>
                      <a:fillRect/>
                    </a:stretch>
                  </pic:blipFill>
                  <pic:spPr bwMode="auto">
                    <a:xfrm>
                      <a:off x="0" y="0"/>
                      <a:ext cx="52133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Warranties and Covenants); Article‎ IX (Limitation of Liability and Indemnification), and Article‎ X (Miscellaneous) shall survive any expiration or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-172720</wp:posOffset>
            </wp:positionV>
            <wp:extent cx="4832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1">
                      <a:extLst>
                        <a:ext uri="{28A0092B-C50C-407E-A947-70E740481C1C}"/>
                      </a:extLst>
                    </a:blip>
                    <a:srcRect/>
                    <a:stretch>
                      <a:fillRect/>
                    </a:stretch>
                  </pic:blipFill>
                  <pic:spPr bwMode="auto">
                    <a:xfrm>
                      <a:off x="0" y="0"/>
                      <a:ext cx="483235" cy="889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-172720</wp:posOffset>
            </wp:positionV>
            <wp:extent cx="4451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2">
                      <a:extLst>
                        <a:ext uri="{28A0092B-C50C-407E-A947-70E740481C1C}"/>
                      </a:extLst>
                    </a:blip>
                    <a:srcRect/>
                    <a:stretch>
                      <a:fillRect/>
                    </a:stretch>
                  </pic:blipFill>
                  <pic:spPr bwMode="auto">
                    <a:xfrm>
                      <a:off x="0" y="0"/>
                      <a:ext cx="445135" cy="8890"/>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Entire Agreement and Counterparts</w:t>
      </w:r>
      <w:r>
        <w:rPr>
          <w:rFonts w:ascii="Times New Roman" w:cs="Times New Roman" w:eastAsia="Times New Roman" w:hAnsi="Times New Roman"/>
          <w:sz w:val="18"/>
          <w:szCs w:val="18"/>
          <w:color w:val="auto"/>
        </w:rPr>
        <w:t>. This Agreement, including any Annexes, Appendices, and Exhibits, constitutes the entire agreement between the Parties with respect to the subject matter of this Agreement (superseding any prior or contemporaneous representations, conditions, understandings and other agreements) and may be executed in identical counterparts, each of which shall constitute an original and all of which together shall constitute one and the same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gridSpan w:val="6"/>
          </w:tcPr>
          <w:p>
            <w:pPr>
              <w:ind w:left="3380"/>
              <w:spacing w:after="0"/>
              <w:rPr>
                <w:sz w:val="20"/>
                <w:szCs w:val="20"/>
                <w:color w:val="auto"/>
              </w:rPr>
            </w:pPr>
            <w:r>
              <w:rPr>
                <w:rFonts w:ascii="Times New Roman" w:cs="Times New Roman" w:eastAsia="Times New Roman" w:hAnsi="Times New Roman"/>
                <w:sz w:val="18"/>
                <w:szCs w:val="18"/>
                <w:b w:val="1"/>
                <w:bCs w:val="1"/>
                <w:color w:val="auto"/>
              </w:rPr>
              <w:t>Hub Cyber Security Ltd.</w:t>
            </w:r>
          </w:p>
        </w:tc>
        <w:tc>
          <w:tcPr>
            <w:tcW w:w="3140" w:type="dxa"/>
            <w:vAlign w:val="bottom"/>
          </w:tcPr>
          <w:p>
            <w:pPr>
              <w:spacing w:after="0"/>
              <w:rPr>
                <w:sz w:val="20"/>
                <w:szCs w:val="20"/>
                <w:color w:val="auto"/>
              </w:rPr>
            </w:pPr>
          </w:p>
        </w:tc>
      </w:tr>
      <w:tr>
        <w:trPr>
          <w:trHeight w:val="439"/>
        </w:trPr>
        <w:tc>
          <w:tcPr>
            <w:tcW w:w="382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Noah Hershkoviz</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 Osher Partok Rheinisch</w:t>
            </w:r>
          </w:p>
        </w:tc>
      </w:tr>
      <w:tr>
        <w:trPr>
          <w:trHeight w:val="198"/>
        </w:trPr>
        <w:tc>
          <w:tcPr>
            <w:tcW w:w="3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top w:val="single" w:sz="8" w:color="auto"/>
            </w:tcBorders>
            <w:gridSpan w:val="3"/>
          </w:tcPr>
          <w:p>
            <w:pPr>
              <w:spacing w:after="0" w:line="198" w:lineRule="exact"/>
              <w:rPr>
                <w:sz w:val="20"/>
                <w:szCs w:val="20"/>
                <w:color w:val="auto"/>
              </w:rPr>
            </w:pPr>
            <w:r>
              <w:rPr>
                <w:rFonts w:ascii="Times New Roman" w:cs="Times New Roman" w:eastAsia="Times New Roman" w:hAnsi="Times New Roman"/>
                <w:sz w:val="18"/>
                <w:szCs w:val="18"/>
                <w:color w:val="auto"/>
              </w:rPr>
              <w:t>Name: Noah Hershkoviz</w:t>
            </w:r>
          </w:p>
        </w:tc>
        <w:tc>
          <w:tcPr>
            <w:tcW w:w="200" w:type="dxa"/>
            <w:vAlign w:val="bottom"/>
          </w:tcPr>
          <w:p>
            <w:pPr>
              <w:spacing w:after="0"/>
              <w:rPr>
                <w:sz w:val="17"/>
                <w:szCs w:val="17"/>
                <w:color w:val="auto"/>
              </w:rPr>
            </w:pPr>
          </w:p>
        </w:tc>
        <w:tc>
          <w:tcPr>
            <w:tcW w:w="3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Osher Partok Rheinisch</w:t>
            </w:r>
          </w:p>
        </w:tc>
      </w:tr>
      <w:tr>
        <w:trPr>
          <w:trHeight w:val="234"/>
        </w:trPr>
        <w:tc>
          <w:tcPr>
            <w:tcW w:w="3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CEO</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CLO</w:t>
            </w:r>
          </w:p>
        </w:tc>
      </w:tr>
      <w:tr>
        <w:trPr>
          <w:trHeight w:val="432"/>
        </w:trPr>
        <w:tc>
          <w:tcPr>
            <w:tcW w:w="8100" w:type="dxa"/>
            <w:vAlign w:val="bottom"/>
            <w:gridSpan w:val="6"/>
          </w:tcPr>
          <w:p>
            <w:pPr>
              <w:ind w:left="3380"/>
              <w:spacing w:after="0"/>
              <w:rPr>
                <w:sz w:val="20"/>
                <w:szCs w:val="20"/>
                <w:color w:val="auto"/>
              </w:rPr>
            </w:pPr>
            <w:r>
              <w:rPr>
                <w:rFonts w:ascii="Times New Roman" w:cs="Times New Roman" w:eastAsia="Times New Roman" w:hAnsi="Times New Roman"/>
                <w:sz w:val="18"/>
                <w:szCs w:val="18"/>
                <w:b w:val="1"/>
                <w:bCs w:val="1"/>
                <w:color w:val="auto"/>
              </w:rPr>
              <w:t>BlackSwan Technologies, Inc.</w:t>
            </w:r>
          </w:p>
        </w:tc>
        <w:tc>
          <w:tcPr>
            <w:tcW w:w="3140" w:type="dxa"/>
            <w:vAlign w:val="bottom"/>
          </w:tcPr>
          <w:p>
            <w:pPr>
              <w:spacing w:after="0"/>
              <w:rPr>
                <w:sz w:val="24"/>
                <w:szCs w:val="24"/>
                <w:color w:val="auto"/>
              </w:rPr>
            </w:pPr>
          </w:p>
        </w:tc>
      </w:tr>
      <w:tr>
        <w:trPr>
          <w:trHeight w:val="439"/>
        </w:trPr>
        <w:tc>
          <w:tcPr>
            <w:tcW w:w="382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 Ranan Grobman</w:t>
            </w:r>
          </w:p>
        </w:tc>
        <w:tc>
          <w:tcPr>
            <w:tcW w:w="3140" w:type="dxa"/>
            <w:vAlign w:val="bottom"/>
          </w:tcPr>
          <w:p>
            <w:pPr>
              <w:spacing w:after="0"/>
              <w:rPr>
                <w:sz w:val="24"/>
                <w:szCs w:val="24"/>
                <w:color w:val="auto"/>
              </w:rPr>
            </w:pPr>
          </w:p>
        </w:tc>
      </w:tr>
      <w:tr>
        <w:trPr>
          <w:trHeight w:val="198"/>
        </w:trPr>
        <w:tc>
          <w:tcPr>
            <w:tcW w:w="3820" w:type="dxa"/>
            <w:vAlign w:val="bottom"/>
          </w:tcPr>
          <w:p>
            <w:pPr>
              <w:spacing w:after="0"/>
              <w:rPr>
                <w:sz w:val="17"/>
                <w:szCs w:val="17"/>
                <w:color w:val="auto"/>
              </w:rPr>
            </w:pPr>
          </w:p>
        </w:tc>
        <w:tc>
          <w:tcPr>
            <w:tcW w:w="4060" w:type="dxa"/>
            <w:vAlign w:val="bottom"/>
            <w:tcBorders>
              <w:top w:val="single" w:sz="8" w:color="auto"/>
            </w:tcBorders>
            <w:gridSpan w:val="3"/>
          </w:tcPr>
          <w:p>
            <w:pPr>
              <w:spacing w:after="0" w:line="198" w:lineRule="exact"/>
              <w:rPr>
                <w:sz w:val="20"/>
                <w:szCs w:val="20"/>
                <w:color w:val="auto"/>
              </w:rPr>
            </w:pPr>
            <w:r>
              <w:rPr>
                <w:rFonts w:ascii="Times New Roman" w:cs="Times New Roman" w:eastAsia="Times New Roman" w:hAnsi="Times New Roman"/>
                <w:sz w:val="18"/>
                <w:szCs w:val="18"/>
                <w:color w:val="auto"/>
              </w:rPr>
              <w:t>Name: Ranan Grobman</w:t>
            </w:r>
          </w:p>
        </w:tc>
        <w:tc>
          <w:tcPr>
            <w:tcW w:w="220" w:type="dxa"/>
            <w:vAlign w:val="bottom"/>
            <w:gridSpan w:val="2"/>
          </w:tcPr>
          <w:p>
            <w:pPr>
              <w:spacing w:after="0"/>
              <w:rPr>
                <w:sz w:val="17"/>
                <w:szCs w:val="17"/>
                <w:color w:val="auto"/>
              </w:rPr>
            </w:pPr>
          </w:p>
        </w:tc>
        <w:tc>
          <w:tcPr>
            <w:tcW w:w="3140" w:type="dxa"/>
            <w:vAlign w:val="bottom"/>
          </w:tcPr>
          <w:p>
            <w:pPr>
              <w:spacing w:after="0"/>
              <w:rPr>
                <w:sz w:val="17"/>
                <w:szCs w:val="17"/>
                <w:color w:val="auto"/>
              </w:rPr>
            </w:pPr>
          </w:p>
        </w:tc>
      </w:tr>
      <w:tr>
        <w:trPr>
          <w:trHeight w:val="234"/>
        </w:trPr>
        <w:tc>
          <w:tcPr>
            <w:tcW w:w="38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spacing w:after="0"/>
              <w:rPr>
                <w:sz w:val="20"/>
                <w:szCs w:val="20"/>
                <w:color w:val="auto"/>
              </w:rPr>
            </w:pPr>
          </w:p>
        </w:tc>
      </w:tr>
      <w:tr>
        <w:trPr>
          <w:trHeight w:val="871"/>
        </w:trPr>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right"/>
              <w:ind w:right="207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F-1) and related prospectus of HUB Cyber Security Ltd. for the registration of its common stocks and warrants and to the incorporation by reference therein of our report dated August 16, 2024, with respect to the consolidated financial statements of HUB Cyber Security Ltd. included in its Annual Report (Form 20-F) for the year ended December 31, 2023, filed with the Securities and Exchange Commission.</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13, 2024</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ectPr>
          <w:pgSz w:w="11900" w:h="16838" w:orient="portrait"/>
          <w:cols w:equalWidth="0" w:num="2">
            <w:col w:w="6040" w:space="720"/>
            <w:col w:w="4480"/>
          </w:cols>
          <w:pgMar w:left="320" w:top="117" w:right="339" w:bottom="1440" w:gutter="0" w:footer="0" w:header="0"/>
          <w:type w:val="continuous"/>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F-1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HUB Cyber Security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In</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760" w:type="dxa"/>
            <w:vAlign w:val="bottom"/>
            <w:gridSpan w:val="2"/>
            <w:vMerge w:val="continue"/>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with Unsold</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7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Form</w:t>
            </w:r>
          </w:p>
        </w:tc>
        <w:tc>
          <w:tcPr>
            <w:tcW w:w="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7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86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to be Carried</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Title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80" w:type="dxa"/>
            <w:vAlign w:val="bottom"/>
            <w:gridSpan w:val="3"/>
          </w:tcPr>
          <w:p>
            <w:pPr>
              <w:jc w:val="right"/>
              <w:ind w:right="180"/>
              <w:spacing w:after="0" w:line="176" w:lineRule="exact"/>
              <w:rPr>
                <w:sz w:val="20"/>
                <w:szCs w:val="20"/>
                <w:color w:val="auto"/>
              </w:rPr>
            </w:pPr>
            <w:r>
              <w:rPr>
                <w:rFonts w:ascii="Times New Roman" w:cs="Times New Roman" w:eastAsia="Times New Roman" w:hAnsi="Times New Roman"/>
                <w:sz w:val="13"/>
                <w:szCs w:val="13"/>
                <w:b w:val="1"/>
                <w:bCs w:val="1"/>
                <w:color w:val="auto"/>
              </w:rPr>
              <w:t>Registered</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26"/>
        </w:trPr>
        <w:tc>
          <w:tcPr>
            <w:tcW w:w="920" w:type="dxa"/>
            <w:vAlign w:val="bottom"/>
            <w:tcBorders>
              <w:top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Fees to be paid</w:t>
            </w:r>
          </w:p>
        </w:tc>
        <w:tc>
          <w:tcPr>
            <w:tcW w:w="560" w:type="dxa"/>
            <w:vAlign w:val="bottom"/>
            <w:tcBorders>
              <w:top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shares, no par</w:t>
            </w:r>
          </w:p>
        </w:tc>
        <w:tc>
          <w:tcPr>
            <w:tcW w:w="7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457(c)</w:t>
            </w:r>
          </w:p>
        </w:tc>
        <w:tc>
          <w:tcPr>
            <w:tcW w:w="10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49,253,117</w:t>
            </w:r>
            <w:r>
              <w:rPr>
                <w:rFonts w:ascii="Times New Roman" w:cs="Times New Roman" w:eastAsia="Times New Roman" w:hAnsi="Times New Roman"/>
                <w:sz w:val="23"/>
                <w:szCs w:val="23"/>
                <w:color w:val="auto"/>
                <w:vertAlign w:val="superscript"/>
              </w:rPr>
              <w:t>(2)</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0.4975</w:t>
            </w:r>
            <w:r>
              <w:rPr>
                <w:rFonts w:ascii="Times New Roman" w:cs="Times New Roman" w:eastAsia="Times New Roman" w:hAnsi="Times New Roman"/>
                <w:sz w:val="23"/>
                <w:szCs w:val="23"/>
                <w:color w:val="auto"/>
                <w:vertAlign w:val="superscript"/>
              </w:rPr>
              <w:t>(3)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24,503,425.71</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0.0001476</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3,616.71</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value per share</w:t>
            </w:r>
          </w:p>
        </w:tc>
        <w:tc>
          <w:tcPr>
            <w:tcW w:w="700" w:type="dxa"/>
            <w:vAlign w:val="bottom"/>
            <w:vMerge w:val="continue"/>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Fees to be paid</w:t>
            </w:r>
          </w:p>
        </w:tc>
        <w:tc>
          <w:tcPr>
            <w:tcW w:w="62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9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shares issuable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upon the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exercise of</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457(g)</w:t>
            </w:r>
          </w:p>
        </w:tc>
        <w:tc>
          <w:tcPr>
            <w:tcW w:w="10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1,203,284</w:t>
            </w:r>
            <w:r>
              <w:rPr>
                <w:rFonts w:ascii="Times New Roman" w:cs="Times New Roman" w:eastAsia="Times New Roman" w:hAnsi="Times New Roman"/>
                <w:sz w:val="23"/>
                <w:szCs w:val="23"/>
                <w:color w:val="auto"/>
                <w:vertAlign w:val="superscript"/>
              </w:rPr>
              <w:t>(4)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127.90</w:t>
            </w:r>
            <w:r>
              <w:rPr>
                <w:rFonts w:ascii="Times New Roman" w:cs="Times New Roman" w:eastAsia="Times New Roman" w:hAnsi="Times New Roman"/>
                <w:sz w:val="23"/>
                <w:szCs w:val="23"/>
                <w:color w:val="auto"/>
                <w:vertAlign w:val="superscript"/>
              </w:rPr>
              <w:t>(5)</w:t>
            </w:r>
          </w:p>
        </w:tc>
        <w:tc>
          <w:tcPr>
            <w:tcW w:w="80" w:type="dxa"/>
            <w:vAlign w:val="bottom"/>
          </w:tcPr>
          <w:p>
            <w:pPr>
              <w:spacing w:after="0"/>
              <w:rPr>
                <w:sz w:val="12"/>
                <w:szCs w:val="12"/>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153,900,023.60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0.0001476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22,715.64</w:t>
            </w:r>
          </w:p>
        </w:tc>
        <w:tc>
          <w:tcPr>
            <w:tcW w:w="100" w:type="dxa"/>
            <w:vAlign w:val="bottom"/>
          </w:tcPr>
          <w:p>
            <w:pPr>
              <w:spacing w:after="0"/>
              <w:rPr>
                <w:sz w:val="12"/>
                <w:szCs w:val="12"/>
                <w:color w:val="auto"/>
              </w:rPr>
            </w:pP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warrants</w:t>
            </w:r>
          </w:p>
        </w:tc>
        <w:tc>
          <w:tcPr>
            <w:tcW w:w="70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Fees to be paid</w:t>
            </w:r>
          </w:p>
        </w:tc>
        <w:tc>
          <w:tcPr>
            <w:tcW w:w="620" w:type="dxa"/>
            <w:vAlign w:val="bottom"/>
            <w:gridSpan w:val="2"/>
            <w:shd w:val="clear" w:color="auto" w:fill="CCEEFF"/>
          </w:tcPr>
          <w:p>
            <w:pPr>
              <w:jc w:val="center"/>
              <w:ind w:right="40"/>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960" w:type="dxa"/>
            <w:vAlign w:val="bottom"/>
            <w:gridSpan w:val="2"/>
            <w:shd w:val="clear" w:color="auto" w:fill="CCEEFF"/>
          </w:tcPr>
          <w:p>
            <w:pPr>
              <w:jc w:val="center"/>
              <w:ind w:right="80"/>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shares issuable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upon the</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exercise of</w:t>
            </w:r>
          </w:p>
        </w:tc>
        <w:tc>
          <w:tcPr>
            <w:tcW w:w="7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457(g)</w:t>
            </w:r>
          </w:p>
        </w:tc>
        <w:tc>
          <w:tcPr>
            <w:tcW w:w="10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688,563</w:t>
            </w:r>
            <w:r>
              <w:rPr>
                <w:rFonts w:ascii="Times New Roman" w:cs="Times New Roman" w:eastAsia="Times New Roman" w:hAnsi="Times New Roman"/>
                <w:sz w:val="23"/>
                <w:szCs w:val="23"/>
                <w:color w:val="auto"/>
                <w:vertAlign w:val="superscript"/>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20.30 </w:t>
            </w:r>
            <w:r>
              <w:rPr>
                <w:rFonts w:ascii="Times New Roman" w:cs="Times New Roman" w:eastAsia="Times New Roman" w:hAnsi="Times New Roman"/>
                <w:sz w:val="23"/>
                <w:szCs w:val="23"/>
                <w:color w:val="auto"/>
                <w:vertAlign w:val="superscript"/>
              </w:rPr>
              <w:t>(7)</w:t>
            </w:r>
          </w:p>
        </w:tc>
        <w:tc>
          <w:tcPr>
            <w:tcW w:w="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13,977.83</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0.0001476</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2,063.12</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warrants</w:t>
            </w:r>
          </w:p>
        </w:tc>
        <w:tc>
          <w:tcPr>
            <w:tcW w:w="700" w:type="dxa"/>
            <w:vAlign w:val="bottom"/>
            <w:vMerge w:val="continue"/>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Fees to be paid</w:t>
            </w:r>
          </w:p>
        </w:tc>
        <w:tc>
          <w:tcPr>
            <w:tcW w:w="62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96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4"/>
                <w:szCs w:val="14"/>
                <w:color w:val="auto"/>
              </w:rPr>
              <w:t>Warrants to</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457(g)</w:t>
            </w:r>
          </w:p>
        </w:tc>
        <w:tc>
          <w:tcPr>
            <w:tcW w:w="10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11,687</w:t>
            </w:r>
            <w:r>
              <w:rPr>
                <w:rFonts w:ascii="Times New Roman" w:cs="Times New Roman" w:eastAsia="Times New Roman" w:hAnsi="Times New Roman"/>
                <w:sz w:val="23"/>
                <w:szCs w:val="23"/>
                <w:color w:val="auto"/>
                <w:vertAlign w:val="superscript"/>
              </w:rPr>
              <w:t>(8)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ordinary shares</w:t>
            </w:r>
          </w:p>
        </w:tc>
        <w:tc>
          <w:tcPr>
            <w:tcW w:w="70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spacing w:after="0"/>
              <w:rPr>
                <w:sz w:val="12"/>
                <w:szCs w:val="12"/>
                <w:color w:val="auto"/>
              </w:rPr>
            </w:pPr>
          </w:p>
        </w:tc>
        <w:tc>
          <w:tcPr>
            <w:tcW w:w="15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Offering Amount</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178,417,427.14</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28,395.47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18,057.91</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10,319.56</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hanging="372"/>
        <w:spacing w:after="0" w:line="266" w:lineRule="auto"/>
        <w:tabs>
          <w:tab w:leader="none" w:pos="3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or the Securities Act, the Registrant is also registering hereunder an indeterminate number of additional ordinary shares that shall be issuable pursuant to Rule 416 to prevent dilution resulting from share splits, share dividends or similar transactions.</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49,253,117 ordinary shares being registered for resale by the selling securityholders named in this Registration Statement consisting of (a) 31,194 ordinary shares issued at the closing of the Business Combination, which were initially purchased in a private placement prior to the initial public offering of RNER; (b) up to 878 ordinary shares that are issuable upon the exercise of the 11,687 Private Warrants (as defined below) (which were originally issued as part of units in a private placement as part of the initial public offering of RNER at a price of $100.00 per unit) at an exercise price of $127.90 per whole ordinary share by certain of the selling securityholders; (c) up to 892,857 ordinary shares issuable upon exercise of warrants issued to an investor named as a selling securityholder pursuant to the Lind Financing; (d) up to 22,453,334 ordinary shares issuable upon conversion of principal and accrued interest under convertible notes issued to an investor named as a selling securityholder in the March-June 2024 Financing Transaction; (e) up to 11,444,444 ordinary shares issuable upon exercise of warrants issued to an investor that is named as a selling securityholder in the March-June 2024 Financing Transaction; (f) up to 8,046,500 ordinary shares issuable upon conversion of principal under convertible notes issued to certain investors that are named as selling securityholders in the August 2024 Financing Transaction; (g) up to 4,750,005 ordinary shares issuable upon exercise of warrants issued to certain of the selling securityholders in the August 2024 Financing Transaction; (h) up to 1,108,332 ordinary shares issuable upon exercise of warrants issued to the placement agent in the in the August 2024 Financing Transaction; (i) up to 454,545 ordinary shares issued to a consultant that is named as a selling securityholder; and (j) up to 71,528 ordinary shares issued to an investor that is named as a selling securityholder.</w:t>
      </w:r>
    </w:p>
    <w:p>
      <w:pPr>
        <w:spacing w:after="0" w:line="19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will not receive any proceeds from the sale of its ordinary shares by the selling securityholders.</w:t>
      </w:r>
    </w:p>
    <w:p>
      <w:pPr>
        <w:spacing w:after="0" w:line="252"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computing the amount of the registration fee for the ordinary shares being registered in accordance with Rule 457(c) under the Securities Act based upon a proposed maximum aggregate offering price per unit of $0.4975 per ordinary share, the average of the high ($0.51) and low ($0.485) prices of the ordinary shares of the registrant as reported on the Nasdaq Global Market (“Nasdaq”) on September 10, 2024, which such date is within five business days of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3" w:name="page174"/>
    <w:bookmarkEnd w:id="173"/>
    <w:p>
      <w:pPr>
        <w:jc w:val="both"/>
        <w:ind w:left="380" w:hanging="372"/>
        <w:spacing w:after="0" w:line="266" w:lineRule="auto"/>
        <w:tabs>
          <w:tab w:leader="none" w:pos="3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primary issuance of 1,203,284 ordinary shares issuable upon the exercise of previously issued Public Warrants and Private Warrants, each as defined below, consisting of (i) 1,163,085 ordinary shares issuable upon the exercise of the Public Warrants and (ii) 40,199 ordinary shares issuable upon the exercise of the Private Warrants.</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457(g) promulgated under the Securities Act of 1933, as amended (the “Securities Act”). The Proposed Maximum Offering Price Per Share is calculated based on $127.90, which is the exercise price per share of the ordinary shares issuable upon exercise of the Public Warrants and Private Warrants.</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primary issuance of 688,563 ordinary shares issuable upon the exercise of previously issued Prior Warrants (as defined below). The Prior Warrants currently trade on the Nasdaq Global Market under the symbol “HUBCZ.”</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457(g) promulgated under the Securities Act of 1933, as amended (the “Securities Act”). The Proposed Maximum Offering Price Per Share is calculated based on $20.30, which is the exercise price per share of the ordinary shares issuable upon exercise of the Prior Warrants.</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457(g), the entire registration fee for the Private Warrants is allocated to the ordinary shares underlying the Private Warrants, and no separate fee is payable for the Private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2: Fee Offset Claims and Sources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title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Unsold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Unsold Aggregate</w:t>
            </w:r>
          </w:p>
        </w:tc>
        <w:tc>
          <w:tcPr>
            <w:tcW w:w="6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Fee Paid</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 or</w:t>
            </w:r>
          </w:p>
        </w:tc>
        <w:tc>
          <w:tcPr>
            <w:tcW w:w="1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106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Amount</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Registrant or</w:t>
            </w:r>
          </w:p>
        </w:tc>
        <w:tc>
          <w:tcPr>
            <w:tcW w:w="7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Offset</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Associated with</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Associated with</w:t>
            </w:r>
          </w:p>
        </w:tc>
        <w:tc>
          <w:tcPr>
            <w:tcW w:w="12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6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0" w:type="dxa"/>
            <w:vAlign w:val="bottom"/>
          </w:tcPr>
          <w:p>
            <w:pPr>
              <w:spacing w:after="0"/>
              <w:rPr>
                <w:sz w:val="1"/>
                <w:szCs w:val="1"/>
                <w:color w:val="auto"/>
              </w:rPr>
            </w:pPr>
          </w:p>
        </w:tc>
      </w:tr>
      <w:tr>
        <w:trPr>
          <w:trHeight w:val="148"/>
        </w:trPr>
        <w:tc>
          <w:tcPr>
            <w:tcW w:w="900" w:type="dxa"/>
            <w:vAlign w:val="bottom"/>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Fee Offset</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Fee Offset</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Fee Offset</w:t>
            </w:r>
          </w:p>
        </w:tc>
        <w:tc>
          <w:tcPr>
            <w:tcW w:w="6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Offset</w:t>
            </w:r>
          </w:p>
        </w:tc>
        <w:tc>
          <w:tcPr>
            <w:tcW w:w="0" w:type="dxa"/>
            <w:vAlign w:val="bottom"/>
          </w:tcPr>
          <w:p>
            <w:pPr>
              <w:spacing w:after="0"/>
              <w:rPr>
                <w:sz w:val="1"/>
                <w:szCs w:val="1"/>
                <w:color w:val="auto"/>
              </w:rPr>
            </w:pPr>
          </w:p>
        </w:tc>
      </w:tr>
      <w:tr>
        <w:trPr>
          <w:trHeight w:val="190"/>
        </w:trPr>
        <w:tc>
          <w:tcPr>
            <w:tcW w:w="9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Filer Name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20" w:type="dxa"/>
            <w:vAlign w:val="bottom"/>
            <w:vMerge w:val="continue"/>
          </w:tcPr>
          <w:p>
            <w:pPr>
              <w:spacing w:after="0"/>
              <w:rPr>
                <w:sz w:val="16"/>
                <w:szCs w:val="16"/>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  Filing Date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6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-10160</wp:posOffset>
            </wp:positionV>
            <wp:extent cx="654939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5">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36"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14"/>
          <w:szCs w:val="14"/>
          <w:color w:val="auto"/>
        </w:rPr>
        <w:t>Fee Offset</w:t>
      </w:r>
    </w:p>
    <w:p>
      <w:pPr>
        <w:jc w:val="right"/>
        <w:ind w:right="1780"/>
        <w:spacing w:after="0" w:line="226" w:lineRule="auto"/>
        <w:rPr>
          <w:sz w:val="20"/>
          <w:szCs w:val="20"/>
          <w:color w:val="auto"/>
        </w:rPr>
      </w:pPr>
      <w:r>
        <w:rPr>
          <w:rFonts w:ascii="Times New Roman" w:cs="Times New Roman" w:eastAsia="Times New Roman" w:hAnsi="Times New Roman"/>
          <w:sz w:val="14"/>
          <w:szCs w:val="14"/>
          <w:color w:val="auto"/>
        </w:rPr>
        <w:t>Claims</w:t>
      </w:r>
    </w:p>
    <w:tbl>
      <w:tblPr>
        <w:tblLayout w:type="fixed"/>
        <w:tblInd w:w="0" w:type="dxa"/>
        <w:tblCellMar>
          <w:top w:w="0" w:type="dxa"/>
          <w:left w:w="0" w:type="dxa"/>
          <w:bottom w:w="0" w:type="dxa"/>
          <w:right w:w="0" w:type="dxa"/>
        </w:tblCellMar>
      </w:tblPr>
      <w:tr>
        <w:trPr>
          <w:trHeight w:val="133"/>
        </w:trPr>
        <w:tc>
          <w:tcPr>
            <w:tcW w:w="8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Fee Offset</w:t>
            </w: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Sources</w:t>
            </w: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Fee Offset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HUB Cyber</w:t>
            </w:r>
          </w:p>
        </w:tc>
        <w:tc>
          <w:tcPr>
            <w:tcW w:w="3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2"/>
              </w:rPr>
              <w:t>F-1</w:t>
            </w:r>
          </w:p>
        </w:tc>
        <w:tc>
          <w:tcPr>
            <w:tcW w:w="0" w:type="dxa"/>
            <w:vAlign w:val="bottom"/>
          </w:tcPr>
          <w:p>
            <w:pPr>
              <w:spacing w:after="0"/>
              <w:rPr>
                <w:sz w:val="1"/>
                <w:szCs w:val="1"/>
                <w:color w:val="auto"/>
              </w:rPr>
            </w:pPr>
          </w:p>
        </w:tc>
      </w:tr>
      <w:tr>
        <w:trPr>
          <w:trHeight w:val="149"/>
        </w:trPr>
        <w:tc>
          <w:tcPr>
            <w:tcW w:w="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Claims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Security Ltd.</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2"/>
              </w:rPr>
              <w:t>F-1</w:t>
            </w: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Fee Offset</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HUB Cyber</w:t>
            </w: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Sources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Security Ltd.</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2"/>
              </w:rPr>
              <w:t>F-1</w:t>
            </w: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Fee Offset</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HUB Cyber</w:t>
            </w: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Claims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Security Ltd.</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Fee Offset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HUB Cyber</w:t>
            </w:r>
          </w:p>
        </w:tc>
        <w:tc>
          <w:tcPr>
            <w:tcW w:w="3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2"/>
              </w:rPr>
              <w:t>F-1</w:t>
            </w:r>
          </w:p>
        </w:tc>
        <w:tc>
          <w:tcPr>
            <w:tcW w:w="0" w:type="dxa"/>
            <w:vAlign w:val="bottom"/>
          </w:tcPr>
          <w:p>
            <w:pPr>
              <w:spacing w:after="0"/>
              <w:rPr>
                <w:sz w:val="1"/>
                <w:szCs w:val="1"/>
                <w:color w:val="auto"/>
              </w:rPr>
            </w:pPr>
          </w:p>
        </w:tc>
      </w:tr>
      <w:tr>
        <w:trPr>
          <w:trHeight w:val="149"/>
        </w:trPr>
        <w:tc>
          <w:tcPr>
            <w:tcW w:w="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Sources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Security Ltd.</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2"/>
              </w:rPr>
              <w:t>F-4</w:t>
            </w: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Fee Offset</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HUB Cyber</w:t>
            </w: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Claims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Security Ltd.</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Fee Offset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HUB Cyber</w:t>
            </w:r>
          </w:p>
        </w:tc>
        <w:tc>
          <w:tcPr>
            <w:tcW w:w="3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2"/>
              </w:rPr>
              <w:t>F-4</w:t>
            </w:r>
          </w:p>
        </w:tc>
        <w:tc>
          <w:tcPr>
            <w:tcW w:w="0" w:type="dxa"/>
            <w:vAlign w:val="bottom"/>
          </w:tcPr>
          <w:p>
            <w:pPr>
              <w:spacing w:after="0"/>
              <w:rPr>
                <w:sz w:val="1"/>
                <w:szCs w:val="1"/>
                <w:color w:val="auto"/>
              </w:rPr>
            </w:pPr>
          </w:p>
        </w:tc>
      </w:tr>
      <w:tr>
        <w:trPr>
          <w:trHeight w:val="188"/>
        </w:trPr>
        <w:tc>
          <w:tcPr>
            <w:tcW w:w="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Sources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Security Ltd.</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Rules 457 (b) and 0-11(a)(2)</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8"/>
        </w:trPr>
        <w:tc>
          <w:tcPr>
            <w:tcW w:w="9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9"/>
              </w:rPr>
              <w:t>333-274385</w:t>
            </w:r>
            <w:r>
              <w:rPr>
                <w:rFonts w:ascii="Times New Roman" w:cs="Times New Roman" w:eastAsia="Times New Roman" w:hAnsi="Times New Roman"/>
                <w:sz w:val="23"/>
                <w:szCs w:val="23"/>
                <w:color w:val="auto"/>
                <w:w w:val="99"/>
                <w:vertAlign w:val="superscript"/>
              </w:rPr>
              <w:t>(a)</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Rule 457(p)</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960" w:type="dxa"/>
            <w:vAlign w:val="bottom"/>
            <w:vMerge w:val="continue"/>
          </w:tcPr>
          <w:p>
            <w:pPr>
              <w:spacing w:after="0"/>
              <w:rPr>
                <w:sz w:val="14"/>
                <w:szCs w:val="14"/>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September</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Equity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Ordinary shares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Ordinary shares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32,269,091.61</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333-274385</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7, 2023</w:t>
            </w:r>
          </w:p>
        </w:tc>
        <w:tc>
          <w:tcPr>
            <w:tcW w:w="960" w:type="dxa"/>
            <w:vAlign w:val="bottom"/>
            <w:vMerge w:val="continue"/>
          </w:tcPr>
          <w:p>
            <w:pPr>
              <w:spacing w:after="0"/>
              <w:rPr>
                <w:sz w:val="11"/>
                <w:szCs w:val="11"/>
                <w:color w:val="auto"/>
              </w:rPr>
            </w:pPr>
          </w:p>
        </w:tc>
        <w:tc>
          <w:tcPr>
            <w:tcW w:w="1560" w:type="dxa"/>
            <w:vAlign w:val="bottom"/>
          </w:tcPr>
          <w:p>
            <w:pPr>
              <w:jc w:val="right"/>
              <w:ind w:right="888"/>
              <w:spacing w:after="0" w:line="133" w:lineRule="exact"/>
              <w:rPr>
                <w:sz w:val="20"/>
                <w:szCs w:val="20"/>
                <w:color w:val="auto"/>
              </w:rPr>
            </w:pPr>
            <w:r>
              <w:rPr>
                <w:rFonts w:ascii="Times New Roman" w:cs="Times New Roman" w:eastAsia="Times New Roman" w:hAnsi="Times New Roman"/>
                <w:sz w:val="14"/>
                <w:szCs w:val="14"/>
                <w:color w:val="auto"/>
              </w:rPr>
              <w:t>3,556.05</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w:t>
            </w:r>
          </w:p>
        </w:tc>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3,556.05</w:t>
            </w:r>
          </w:p>
        </w:tc>
        <w:tc>
          <w:tcPr>
            <w:tcW w:w="0" w:type="dxa"/>
            <w:vAlign w:val="bottom"/>
          </w:tcPr>
          <w:p>
            <w:pPr>
              <w:spacing w:after="0"/>
              <w:rPr>
                <w:sz w:val="1"/>
                <w:szCs w:val="1"/>
                <w:color w:val="auto"/>
              </w:rPr>
            </w:pPr>
          </w:p>
        </w:tc>
      </w:tr>
      <w:tr>
        <w:trPr>
          <w:trHeight w:val="188"/>
        </w:trPr>
        <w:tc>
          <w:tcPr>
            <w:tcW w:w="9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9"/>
              </w:rPr>
              <w:t>333-274385</w:t>
            </w:r>
            <w:r>
              <w:rPr>
                <w:rFonts w:ascii="Times New Roman" w:cs="Times New Roman" w:eastAsia="Times New Roman" w:hAnsi="Times New Roman"/>
                <w:sz w:val="23"/>
                <w:szCs w:val="23"/>
                <w:color w:val="auto"/>
                <w:w w:val="99"/>
                <w:vertAlign w:val="superscript"/>
              </w:rPr>
              <w:t>(a)</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September</w:t>
            </w: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9"/>
              </w:rPr>
              <w:t>7, 2023</w:t>
            </w:r>
          </w:p>
        </w:tc>
        <w:tc>
          <w:tcPr>
            <w:tcW w:w="15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Equity</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Ordinary shares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Ordinary shares</w:t>
            </w: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9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6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7, 2023</w:t>
            </w:r>
          </w:p>
        </w:tc>
        <w:tc>
          <w:tcPr>
            <w:tcW w:w="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issuable upon the</w:t>
            </w:r>
          </w:p>
        </w:tc>
        <w:tc>
          <w:tcPr>
            <w:tcW w:w="11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issuable upon the</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vMerge w:val="restart"/>
          </w:tcPr>
          <w:p>
            <w:pPr>
              <w:jc w:val="right"/>
              <w:ind w:right="888"/>
              <w:spacing w:after="0"/>
              <w:rPr>
                <w:sz w:val="20"/>
                <w:szCs w:val="20"/>
                <w:color w:val="auto"/>
              </w:rPr>
            </w:pPr>
            <w:r>
              <w:rPr>
                <w:rFonts w:ascii="Times New Roman" w:cs="Times New Roman" w:eastAsia="Times New Roman" w:hAnsi="Times New Roman"/>
                <w:sz w:val="14"/>
                <w:szCs w:val="14"/>
                <w:color w:val="auto"/>
              </w:rPr>
              <w:t>1,540.36</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exercise of</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exercise of</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19,619,811.96</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333-274385</w:t>
            </w:r>
          </w:p>
        </w:tc>
        <w:tc>
          <w:tcPr>
            <w:tcW w:w="8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warrants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warrants</w:t>
            </w:r>
          </w:p>
        </w:tc>
        <w:tc>
          <w:tcPr>
            <w:tcW w:w="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w:t>
            </w:r>
          </w:p>
        </w:tc>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1,540.36</w:t>
            </w:r>
          </w:p>
        </w:tc>
        <w:tc>
          <w:tcPr>
            <w:tcW w:w="0" w:type="dxa"/>
            <w:vAlign w:val="bottom"/>
          </w:tcPr>
          <w:p>
            <w:pPr>
              <w:spacing w:after="0"/>
              <w:rPr>
                <w:sz w:val="1"/>
                <w:szCs w:val="1"/>
                <w:color w:val="auto"/>
              </w:rPr>
            </w:pPr>
          </w:p>
        </w:tc>
      </w:tr>
      <w:tr>
        <w:trPr>
          <w:trHeight w:val="188"/>
        </w:trPr>
        <w:tc>
          <w:tcPr>
            <w:tcW w:w="9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8"/>
              </w:rPr>
              <w:t>333-267035</w:t>
            </w:r>
            <w:r>
              <w:rPr>
                <w:rFonts w:ascii="Times New Roman" w:cs="Times New Roman" w:eastAsia="Times New Roman" w:hAnsi="Times New Roman"/>
                <w:sz w:val="23"/>
                <w:szCs w:val="23"/>
                <w:color w:val="auto"/>
                <w:w w:val="98"/>
                <w:vertAlign w:val="superscript"/>
              </w:rPr>
              <w:t>(b)</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August 24,</w:t>
            </w: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9"/>
              </w:rPr>
              <w:t>7, 2023</w:t>
            </w:r>
          </w:p>
        </w:tc>
        <w:tc>
          <w:tcPr>
            <w:tcW w:w="15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Equity</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Ordinary shares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Ordinary shares</w:t>
            </w: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9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6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2022</w:t>
            </w:r>
          </w:p>
        </w:tc>
        <w:tc>
          <w:tcPr>
            <w:tcW w:w="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issuable upon the</w:t>
            </w:r>
          </w:p>
        </w:tc>
        <w:tc>
          <w:tcPr>
            <w:tcW w:w="11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issuable upon the</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vMerge w:val="restart"/>
          </w:tcPr>
          <w:p>
            <w:pPr>
              <w:jc w:val="right"/>
              <w:ind w:right="888"/>
              <w:spacing w:after="0"/>
              <w:rPr>
                <w:sz w:val="20"/>
                <w:szCs w:val="20"/>
                <w:color w:val="auto"/>
              </w:rPr>
            </w:pPr>
            <w:r>
              <w:rPr>
                <w:rFonts w:ascii="Times New Roman" w:cs="Times New Roman" w:eastAsia="Times New Roman" w:hAnsi="Times New Roman"/>
                <w:sz w:val="14"/>
                <w:szCs w:val="14"/>
                <w:color w:val="auto"/>
              </w:rPr>
              <w:t>12,961.50</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exercise of</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exercise of</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153,900,023.60</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333-267035</w:t>
            </w:r>
          </w:p>
        </w:tc>
        <w:tc>
          <w:tcPr>
            <w:tcW w:w="8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warrants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warrants</w:t>
            </w:r>
          </w:p>
        </w:tc>
        <w:tc>
          <w:tcPr>
            <w:tcW w:w="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August 24,</w:t>
            </w:r>
          </w:p>
        </w:tc>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39,846.74</w:t>
            </w: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2022</w:t>
            </w:r>
          </w:p>
        </w:tc>
        <w:tc>
          <w:tcPr>
            <w:tcW w:w="1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-1518920</wp:posOffset>
            </wp:positionV>
            <wp:extent cx="713232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-1141730</wp:posOffset>
            </wp:positionV>
            <wp:extent cx="7132320" cy="3771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-575945</wp:posOffset>
            </wp:positionV>
            <wp:extent cx="7132320" cy="3771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2360" w:space="340"/>
            <w:col w:w="8540"/>
          </w:cols>
          <w:pgMar w:left="320" w:top="931" w:right="339" w:bottom="1440" w:gutter="0" w:footer="0" w:header="0"/>
          <w:type w:val="continuous"/>
        </w:sectPr>
      </w:pPr>
    </w:p>
    <w:p>
      <w:pPr>
        <w:jc w:val="both"/>
        <w:ind w:left="340" w:hanging="332"/>
        <w:spacing w:after="0" w:line="261"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Registration Statement on Form F-1 (Registration No. 333-274385) was initially filed on September 7, 2023 (the “September 2023 Registration Statement”), but was not declared effective by the Securities and Exchange Commission (the “SEC”). There were no sales of the Registrant’s securities under the September 2023 Registration Statement and the Registrant requested the SEC consent to the withdrawal of the September 2023 Registration Statement on September 13, 2024.</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registered 13,384,650 ordinary shares upon exercise the of (i) warrants to purchase ordinary shares, originally issued by Mount Rainier Acquisition Corp. to the public in its initial public offering that were converted into warrants to purchase ordinary shares of the Registrant on the closing of the Business Combination (the “Public Warrants”) and (ii) warrants to purchase ordinary shares, originally issued by Mount Rainier Acquisition Corp. to the Sponsor and affiliated entities in connection with the initial public offering of Mount Rainier Acquisition Corp. that were converted into warrants to purchase ordinary shares of the Registrant on the closing of the Business Combination (the “Private Warrants”, and, together with the Public Warrants, the “SPAC Warrants”) under a registration statement on Form F-4 (File No. 333-267035) (the “August 2022 Registration Statement). After giving effect to a reverse 1-for-10 reverse share split that the Registrant effected on December 14, 2023, such number of ordinary shares issuable upon the exercise of the SPAC Warrants is 1,338,465 ordinary shares of which 1,203,284 ordinary shares issuable upon the exercise of SPAC Warrants have not yet been exercised and, consequently, none of the ordinary shares have been issued or sold under the August 2022 Registration Statement, consisting of (i) 11,630,882 ordinary shares that may be received upon exercise of Public Warrants and (ii) 401,992 ordinary shares that may be received upon exercise Private Warrants. The Registrant has completed the offering that included these unissued ordinary shares under the August 2022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1)"/>
      <w:numFmt w:val="lowerLetter"/>
      <w:start w:val="2"/>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1)"/>
      <w:numFmt w:val="decimal"/>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1)"/>
      <w:numFmt w:val="decimal"/>
      <w:start w:val="1"/>
    </w:lvl>
  </w:abstractNum>
  <w:abstractNum w:abstractNumId="20">
    <w:nsid w:val="1716703B"/>
    <w:multiLevelType w:val="hybridMultilevel"/>
    <w:lvl w:ilvl="0">
      <w:lvlJc w:val="left"/>
      <w:lvlText w:val="(%1)"/>
      <w:numFmt w:val="decimal"/>
      <w:start w:val="2"/>
    </w:lvl>
  </w:abstractNum>
  <w:abstractNum w:abstractNumId="21">
    <w:nsid w:val="14E17E33"/>
    <w:multiLevelType w:val="hybridMultilevel"/>
    <w:lvl w:ilvl="0">
      <w:lvlJc w:val="left"/>
      <w:lvlText w:val="(%1)"/>
      <w:numFmt w:val="decimal"/>
      <w:start w:val="25"/>
    </w:lvl>
    <w:lvl w:ilvl="1">
      <w:lvlJc w:val="left"/>
      <w:lvlText w:val="(%2)"/>
      <w:numFmt w:val="lowerLetter"/>
      <w:start w:val="2"/>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lvl w:ilvl="1">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1)"/>
      <w:numFmt w:val="lowerLetter"/>
      <w:start w:val="1"/>
    </w:lvl>
  </w:abstractNum>
  <w:abstractNum w:abstractNumId="34">
    <w:nsid w:val="7F01579B"/>
    <w:multiLevelType w:val="hybridMultilevel"/>
    <w:lvl w:ilvl="0">
      <w:lvlJc w:val="left"/>
      <w:lvlText w:val="(%1)"/>
      <w:numFmt w:val="decimal"/>
      <w:start w:val="1"/>
    </w:lvl>
    <w:lvl w:ilvl="1">
      <w:lvlJc w:val="left"/>
      <w:lvlText w:val="(%2)"/>
      <w:numFmt w:val="lowerRoman"/>
      <w:start w:val="1"/>
    </w:lvl>
  </w:abstractNum>
  <w:abstractNum w:abstractNumId="35">
    <w:nsid w:val="49DA307D"/>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6">
    <w:nsid w:val="7055A5F5"/>
    <w:multiLevelType w:val="hybridMultilevel"/>
    <w:lvl w:ilvl="0">
      <w:lvlJc w:val="left"/>
      <w:lvlText w:val="(%1)"/>
      <w:numFmt w:val="lowerRoman"/>
      <w:start w:val="2"/>
    </w:lvl>
  </w:abstractNum>
  <w:abstractNum w:abstractNumId="37">
    <w:nsid w:val="5FB8370B"/>
    <w:multiLevelType w:val="hybridMultilevel"/>
    <w:lvl w:ilvl="0">
      <w:lvlJc w:val="left"/>
      <w:lvlText w:val="(%1)"/>
      <w:numFmt w:val="decimal"/>
      <w:start w:val="1"/>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1."/>
      <w:numFmt w:val="decimal"/>
      <w:start w:val="1"/>
    </w:lvl>
  </w:abstractNum>
  <w:abstractNum w:abstractNumId="42">
    <w:nsid w:val="7672BD23"/>
    <w:multiLevelType w:val="hybridMultilevel"/>
    <w:lvl w:ilvl="0">
      <w:lvlJc w:val="left"/>
      <w:lvlText w:val="%1."/>
      <w:numFmt w:val="decimal"/>
      <w:start w:val="5"/>
    </w:lvl>
  </w:abstractNum>
  <w:abstractNum w:abstractNumId="43">
    <w:nsid w:val="6FC75AF8"/>
    <w:multiLevelType w:val="hybridMultilevel"/>
    <w:lvl w:ilvl="0">
      <w:lvlJc w:val="left"/>
      <w:lvlText w:val="(%1)"/>
      <w:numFmt w:val="lowerLetter"/>
      <w:start w:val="2"/>
    </w:lvl>
  </w:abstractNum>
  <w:abstractNum w:abstractNumId="44">
    <w:nsid w:val="6A5F7029"/>
    <w:multiLevelType w:val="hybridMultilevel"/>
    <w:lvl w:ilvl="0">
      <w:lvlJc w:val="left"/>
      <w:lvlText w:val="%1."/>
      <w:numFmt w:val="decimal"/>
      <w:start w:val="6"/>
    </w:lvl>
  </w:abstractNum>
  <w:abstractNum w:abstractNumId="45">
    <w:nsid w:val="7D5E18F8"/>
    <w:multiLevelType w:val="hybridMultilevel"/>
    <w:lvl w:ilvl="0">
      <w:lvlJc w:val="left"/>
      <w:lvlText w:val="%1."/>
      <w:numFmt w:val="decimal"/>
      <w:start w:val="7"/>
    </w:lvl>
  </w:abstractNum>
  <w:abstractNum w:abstractNumId="46">
    <w:nsid w:val="5F3534A4"/>
    <w:multiLevelType w:val="hybridMultilevel"/>
    <w:lvl w:ilvl="0">
      <w:lvlJc w:val="left"/>
      <w:lvlText w:val="%1."/>
      <w:numFmt w:val="decimal"/>
      <w:start w:val="8"/>
    </w:lvl>
  </w:abstractNum>
  <w:abstractNum w:abstractNumId="47">
    <w:nsid w:val="73A1821B"/>
    <w:multiLevelType w:val="hybridMultilevel"/>
    <w:lvl w:ilvl="0">
      <w:lvlJc w:val="left"/>
      <w:lvlText w:val="%1."/>
      <w:numFmt w:val="decimal"/>
      <w:start w:val="9"/>
    </w:lvl>
  </w:abstractNum>
  <w:abstractNum w:abstractNumId="48">
    <w:nsid w:val="7DE67713"/>
    <w:multiLevelType w:val="hybridMultilevel"/>
    <w:lvl w:ilvl="0">
      <w:lvlJc w:val="left"/>
      <w:lvlText w:val="%1."/>
      <w:numFmt w:val="decimal"/>
      <w:start w:val="10"/>
    </w:lvl>
  </w:abstractNum>
  <w:abstractNum w:abstractNumId="49">
    <w:nsid w:val="555C55B5"/>
    <w:multiLevelType w:val="hybridMultilevel"/>
    <w:lvl w:ilvl="0">
      <w:lvlJc w:val="left"/>
      <w:lvlText w:val="%1."/>
      <w:numFmt w:val="decimal"/>
      <w:start w:val="11"/>
    </w:lvl>
  </w:abstractNum>
  <w:abstractNum w:abstractNumId="50">
    <w:nsid w:val="3FA62ACA"/>
    <w:multiLevelType w:val="hybridMultilevel"/>
    <w:lvl w:ilvl="0">
      <w:lvlJc w:val="left"/>
      <w:lvlText w:val="%1"/>
      <w:numFmt w:val="decimal"/>
      <w:start w:val="99"/>
    </w:lvl>
  </w:abstractNum>
  <w:abstractNum w:abstractNumId="51">
    <w:nsid w:val="14FCE74E"/>
    <w:multiLevelType w:val="hybridMultilevel"/>
    <w:lvl w:ilvl="0">
      <w:lvlJc w:val="left"/>
      <w:lvlText w:val="%1."/>
      <w:numFmt w:val="decimal"/>
      <w:start w:val="1"/>
    </w:lvl>
    <w:lvl w:ilvl="1">
      <w:lvlJc w:val="left"/>
      <w:lvlText w:val="(%2)"/>
      <w:numFmt w:val="lowerLetter"/>
      <w:start w:val="1"/>
    </w:lvl>
  </w:abstractNum>
  <w:abstractNum w:abstractNumId="52">
    <w:nsid w:val="6A3DD3E8"/>
    <w:multiLevelType w:val="hybridMultilevel"/>
    <w:lvl w:ilvl="0">
      <w:lvlJc w:val="left"/>
      <w:lvlText w:val="%1"/>
      <w:numFmt w:val="decimal"/>
      <w:start w:val="1"/>
    </w:lvl>
    <w:lvl w:ilvl="1">
      <w:lvlJc w:val="left"/>
      <w:lvlText w:val="(%2)"/>
      <w:numFmt w:val="lowerLetter"/>
      <w:start w:val="3"/>
    </w:lvl>
  </w:abstractNum>
  <w:abstractNum w:abstractNumId="53">
    <w:nsid w:val="71C91298"/>
    <w:multiLevelType w:val="hybridMultilevel"/>
    <w:lvl w:ilvl="0">
      <w:lvlJc w:val="left"/>
      <w:lvlText w:val="%1."/>
      <w:numFmt w:val="decimal"/>
      <w:start w:val="2"/>
    </w:lvl>
    <w:lvl w:ilvl="1">
      <w:lvlJc w:val="left"/>
      <w:lvlText w:val="%2"/>
      <w:numFmt w:val="lowerLetter"/>
      <w:start w:val="1"/>
    </w:lvl>
  </w:abstractNum>
  <w:abstractNum w:abstractNumId="54">
    <w:nsid w:val="9DAF632"/>
    <w:multiLevelType w:val="hybridMultilevel"/>
    <w:lvl w:ilvl="0">
      <w:lvlJc w:val="left"/>
      <w:lvlText w:val="(%1)"/>
      <w:numFmt w:val="lowerLetter"/>
      <w:start w:val="1"/>
    </w:lvl>
    <w:lvl w:ilvl="1">
      <w:lvlJc w:val="left"/>
      <w:lvlText w:val="(%2)"/>
      <w:numFmt w:val="lowerLetter"/>
      <w:start w:val="9"/>
    </w:lvl>
  </w:abstractNum>
  <w:abstractNum w:abstractNumId="55">
    <w:nsid w:val="53299938"/>
    <w:multiLevelType w:val="hybridMultilevel"/>
    <w:lvl w:ilvl="0">
      <w:lvlJc w:val="left"/>
      <w:lvlText w:val="%1"/>
      <w:numFmt w:val="lowerLetter"/>
      <w:start w:val="1"/>
    </w:lvl>
    <w:lvl w:ilvl="1">
      <w:lvlJc w:val="left"/>
      <w:lvlText w:val="(%2)"/>
      <w:numFmt w:val="lowerRoman"/>
      <w:start w:val="2"/>
    </w:lvl>
  </w:abstractNum>
  <w:abstractNum w:abstractNumId="56">
    <w:nsid w:val="1FBFE8E0"/>
    <w:multiLevelType w:val="hybridMultilevel"/>
    <w:lvl w:ilvl="0">
      <w:lvlJc w:val="left"/>
      <w:lvlText w:val="(%1)"/>
      <w:numFmt w:val="lowerLetter"/>
      <w:start w:val="4"/>
    </w:lvl>
    <w:lvl w:ilvl="1">
      <w:lvlJc w:val="left"/>
      <w:lvlText w:val="%2"/>
      <w:numFmt w:val="lowerRoman"/>
      <w:start w:val="1"/>
    </w:lvl>
  </w:abstractNum>
  <w:abstractNum w:abstractNumId="57">
    <w:nsid w:val="5092CA79"/>
    <w:multiLevelType w:val="hybridMultilevel"/>
    <w:lvl w:ilvl="0">
      <w:lvlJc w:val="left"/>
      <w:lvlText w:val="(%1)"/>
      <w:numFmt w:val="lowerLetter"/>
      <w:start w:val="6"/>
    </w:lvl>
  </w:abstractNum>
  <w:abstractNum w:abstractNumId="58">
    <w:nsid w:val="1D545C4D"/>
    <w:multiLevelType w:val="hybridMultilevel"/>
    <w:lvl w:ilvl="0">
      <w:lvlJc w:val="left"/>
      <w:lvlText w:val="(%1)"/>
      <w:numFmt w:val="lowerLetter"/>
      <w:start w:val="10"/>
    </w:lvl>
    <w:lvl w:ilvl="1">
      <w:lvlJc w:val="left"/>
      <w:lvlText w:val="(%2)"/>
      <w:numFmt w:val="lowerRoman"/>
      <w:start w:val="1"/>
    </w:lvl>
  </w:abstractNum>
  <w:abstractNum w:abstractNumId="59">
    <w:nsid w:val="59ADEA3D"/>
    <w:multiLevelType w:val="hybridMultilevel"/>
    <w:lvl w:ilvl="0">
      <w:lvlJc w:val="left"/>
      <w:lvlText w:val="(%1)"/>
      <w:numFmt w:val="lowerRoman"/>
      <w:start w:val="3"/>
    </w:lvl>
  </w:abstractNum>
  <w:abstractNum w:abstractNumId="60">
    <w:nsid w:val="288F1A34"/>
    <w:multiLevelType w:val="hybridMultilevel"/>
    <w:lvl w:ilvl="0">
      <w:lvlJc w:val="left"/>
      <w:lvlText w:val="%1"/>
      <w:numFmt w:val="lowerLetter"/>
      <w:start w:val="1"/>
    </w:lvl>
    <w:lvl w:ilvl="1">
      <w:lvlJc w:val="left"/>
      <w:lvlText w:val="(%2)"/>
      <w:numFmt w:val="lowerRoman"/>
      <w:start w:val="4"/>
    </w:lvl>
  </w:abstractNum>
  <w:abstractNum w:abstractNumId="61">
    <w:nsid w:val="2A155DBC"/>
    <w:multiLevelType w:val="hybridMultilevel"/>
    <w:lvl w:ilvl="0">
      <w:lvlJc w:val="left"/>
      <w:lvlText w:val="(%1)"/>
      <w:numFmt w:val="lowerLetter"/>
      <w:start w:val="14"/>
    </w:lvl>
    <w:lvl w:ilvl="1">
      <w:lvlJc w:val="left"/>
      <w:lvlText w:val="%2"/>
      <w:numFmt w:val="lowerRoman"/>
      <w:start w:val="1"/>
    </w:lvl>
  </w:abstractNum>
  <w:abstractNum w:abstractNumId="62">
    <w:nsid w:val="1D9F6E5F"/>
    <w:multiLevelType w:val="hybridMultilevel"/>
    <w:lvl w:ilvl="0">
      <w:lvlJc w:val="left"/>
      <w:lvlText w:val="1"/>
      <w:numFmt w:val="bullet"/>
      <w:start w:val="1"/>
    </w:lvl>
  </w:abstractNum>
  <w:abstractNum w:abstractNumId="63">
    <w:nsid w:val="97E1B4E"/>
    <w:multiLevelType w:val="hybridMultilevel"/>
    <w:lvl w:ilvl="0">
      <w:lvlJc w:val="left"/>
      <w:lvlText w:val="2"/>
      <w:numFmt w:val="bullet"/>
      <w:start w:val="1"/>
    </w:lvl>
  </w:abstractNum>
  <w:abstractNum w:abstractNumId="64">
    <w:nsid w:val="51088277"/>
    <w:multiLevelType w:val="hybridMultilevel"/>
    <w:lvl w:ilvl="0">
      <w:lvlJc w:val="left"/>
      <w:lvlText w:val="3"/>
      <w:numFmt w:val="bullet"/>
      <w:start w:val="1"/>
    </w:lvl>
  </w:abstractNum>
  <w:abstractNum w:abstractNumId="65">
    <w:nsid w:val="1CA0C5FA"/>
    <w:multiLevelType w:val="hybridMultilevel"/>
    <w:lvl w:ilvl="0">
      <w:lvlJc w:val="left"/>
      <w:lvlText w:val="(%1)"/>
      <w:numFmt w:val="lowerLetter"/>
      <w:start w:val="1"/>
    </w:lvl>
  </w:abstractNum>
  <w:abstractNum w:abstractNumId="66">
    <w:nsid w:val="53584BCB"/>
    <w:multiLevelType w:val="hybridMultilevel"/>
    <w:lvl w:ilvl="0">
      <w:lvlJc w:val="left"/>
      <w:lvlText w:val="(%1)"/>
      <w:numFmt w:val="lowerLetter"/>
      <w:start w:val="4"/>
    </w:lvl>
  </w:abstractNum>
  <w:abstractNum w:abstractNumId="67">
    <w:nsid w:val="415E286C"/>
    <w:multiLevelType w:val="hybridMultilevel"/>
    <w:lvl w:ilvl="0">
      <w:lvlJc w:val="left"/>
      <w:lvlText w:val="%1"/>
      <w:numFmt w:val="lowerLetter"/>
      <w:start w:val="1"/>
    </w:lvl>
    <w:lvl w:ilvl="1">
      <w:lvlJc w:val="left"/>
      <w:lvlText w:val="(%2)"/>
      <w:numFmt w:val="lowerLetter"/>
      <w:start w:val="7"/>
    </w:lvl>
  </w:abstractNum>
  <w:abstractNum w:abstractNumId="68">
    <w:nsid w:val="7C58FD05"/>
    <w:multiLevelType w:val="hybridMultilevel"/>
    <w:lvl w:ilvl="0">
      <w:lvlJc w:val="left"/>
      <w:lvlText w:val="(%1)"/>
      <w:numFmt w:val="lowerLetter"/>
      <w:start w:val="35"/>
    </w:lvl>
    <w:lvl w:ilvl="1">
      <w:lvlJc w:val="left"/>
      <w:lvlText w:val="%2"/>
      <w:numFmt w:val="lowerLetter"/>
      <w:start w:val="1"/>
    </w:lvl>
  </w:abstractNum>
  <w:abstractNum w:abstractNumId="69">
    <w:nsid w:val="23D86AAC"/>
    <w:multiLevelType w:val="hybridMultilevel"/>
    <w:lvl w:ilvl="0">
      <w:lvlJc w:val="left"/>
      <w:lvlText w:val="(%1)"/>
      <w:numFmt w:val="lowerLetter"/>
      <w:start w:val="11"/>
    </w:lvl>
  </w:abstractNum>
  <w:abstractNum w:abstractNumId="70">
    <w:nsid w:val="45E6D486"/>
    <w:multiLevelType w:val="hybridMultilevel"/>
    <w:lvl w:ilvl="0">
      <w:lvlJc w:val="left"/>
      <w:lvlText w:val="(%1)"/>
      <w:numFmt w:val="lowerLetter"/>
      <w:start w:val="18"/>
    </w:lvl>
  </w:abstractNum>
  <w:abstractNum w:abstractNumId="71">
    <w:nsid w:val="5C10FE21"/>
    <w:multiLevelType w:val="hybridMultilevel"/>
    <w:lvl w:ilvl="0">
      <w:lvlJc w:val="left"/>
      <w:lvlText w:val="(%1)"/>
      <w:numFmt w:val="lowerLetter"/>
      <w:start w:val="23"/>
    </w:lvl>
  </w:abstractNum>
  <w:abstractNum w:abstractNumId="72">
    <w:nsid w:val="E7FFA2B"/>
    <w:multiLevelType w:val="hybridMultilevel"/>
    <w:lvl w:ilvl="0">
      <w:lvlJc w:val="left"/>
      <w:lvlText w:val="(%1)"/>
      <w:numFmt w:val="lowerLetter"/>
      <w:start w:val="27"/>
    </w:lvl>
  </w:abstractNum>
  <w:abstractNum w:abstractNumId="73">
    <w:nsid w:val="3C5991AA"/>
    <w:multiLevelType w:val="hybridMultilevel"/>
    <w:lvl w:ilvl="0">
      <w:lvlJc w:val="left"/>
      <w:lvlText w:val="%1."/>
      <w:numFmt w:val="decimal"/>
      <w:start w:val="4"/>
    </w:lvl>
    <w:lvl w:ilvl="1">
      <w:lvlJc w:val="left"/>
      <w:lvlText w:val="(%2)"/>
      <w:numFmt w:val="lowerLetter"/>
      <w:start w:val="1"/>
    </w:lvl>
  </w:abstractNum>
  <w:abstractNum w:abstractNumId="74">
    <w:nsid w:val="4BD8591A"/>
    <w:multiLevelType w:val="hybridMultilevel"/>
    <w:lvl w:ilvl="0">
      <w:lvlJc w:val="left"/>
      <w:lvlText w:val="(%1)"/>
      <w:numFmt w:val="lowerLetter"/>
      <w:start w:val="6"/>
    </w:lvl>
  </w:abstractNum>
  <w:abstractNum w:abstractNumId="75">
    <w:nsid w:val="78DF6A55"/>
    <w:multiLevelType w:val="hybridMultilevel"/>
    <w:lvl w:ilvl="0">
      <w:lvlJc w:val="left"/>
      <w:lvlText w:val="%1."/>
      <w:numFmt w:val="decimal"/>
      <w:start w:val="5"/>
    </w:lvl>
    <w:lvl w:ilvl="1">
      <w:lvlJc w:val="left"/>
      <w:lvlText w:val="(%2)"/>
      <w:numFmt w:val="lowerLetter"/>
      <w:start w:val="1"/>
    </w:lvl>
  </w:abstractNum>
  <w:abstractNum w:abstractNumId="76">
    <w:nsid w:val="39B7AAA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7">
    <w:nsid w:val="2B0D8DB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78">
    <w:nsid w:val="6C80EC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9">
    <w:nsid w:val="379E21B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0">
    <w:nsid w:val="69E373"/>
    <w:multiLevelType w:val="hybridMultilevel"/>
    <w:lvl w:ilvl="0">
      <w:lvlJc w:val="left"/>
      <w:lvlText w:val="(%1)"/>
      <w:numFmt w:val="lowerRoman"/>
      <w:start w:val="4"/>
    </w:lvl>
  </w:abstractNum>
  <w:abstractNum w:abstractNumId="81">
    <w:nsid w:val="2C27173B"/>
    <w:multiLevelType w:val="hybridMultilevel"/>
    <w:lvl w:ilvl="0">
      <w:lvlJc w:val="left"/>
      <w:lvlText w:val="%1."/>
      <w:numFmt w:val="decimal"/>
      <w:start w:val="9"/>
    </w:lvl>
    <w:lvl w:ilvl="1">
      <w:lvlJc w:val="left"/>
      <w:lvlText w:val="(%2)"/>
      <w:numFmt w:val="lowerLetter"/>
      <w:start w:val="1"/>
    </w:lvl>
  </w:abstractNum>
  <w:abstractNum w:abstractNumId="82">
    <w:nsid w:val="4C9B0904"/>
    <w:multiLevelType w:val="hybridMultilevel"/>
    <w:lvl w:ilvl="0">
      <w:lvlJc w:val="left"/>
      <w:lvlText w:val="(%1)"/>
      <w:numFmt w:val="lowerLetter"/>
      <w:start w:val="3"/>
    </w:lvl>
  </w:abstractNum>
  <w:abstractNum w:abstractNumId="83">
    <w:nsid w:val="6AA7B75C"/>
    <w:multiLevelType w:val="hybridMultilevel"/>
    <w:lvl w:ilvl="0">
      <w:lvlJc w:val="left"/>
      <w:lvlText w:val="(%1)"/>
      <w:numFmt w:val="lowerLetter"/>
      <w:start w:val="9"/>
    </w:lvl>
  </w:abstractNum>
  <w:abstractNum w:abstractNumId="84">
    <w:nsid w:val="1DF029D3"/>
    <w:multiLevelType w:val="hybridMultilevel"/>
    <w:lvl w:ilvl="0">
      <w:lvlJc w:val="left"/>
      <w:lvlText w:val="%1."/>
      <w:numFmt w:val="decimal"/>
      <w:start w:val="10"/>
    </w:lvl>
    <w:lvl w:ilvl="1">
      <w:lvlJc w:val="left"/>
      <w:lvlText w:val="(%2)"/>
      <w:numFmt w:val="lowerLetter"/>
      <w:start w:val="1"/>
    </w:lvl>
  </w:abstractNum>
  <w:abstractNum w:abstractNumId="85">
    <w:nsid w:val="5675FF36"/>
    <w:multiLevelType w:val="hybridMultilevel"/>
    <w:lvl w:ilvl="0">
      <w:lvlJc w:val="left"/>
      <w:lvlText w:val="(%1)"/>
      <w:numFmt w:val="lowerLetter"/>
      <w:start w:val="5"/>
    </w:lvl>
  </w:abstractNum>
  <w:abstractNum w:abstractNumId="86">
    <w:nsid w:val="3DD15094"/>
    <w:multiLevelType w:val="hybridMultilevel"/>
    <w:lvl w:ilvl="0">
      <w:lvlJc w:val="left"/>
      <w:lvlText w:val="(%1)"/>
      <w:numFmt w:val="lowerLetter"/>
      <w:start w:val="7"/>
    </w:lvl>
  </w:abstractNum>
  <w:abstractNum w:abstractNumId="87">
    <w:nsid w:val="3DB012B3"/>
    <w:multiLevelType w:val="hybridMultilevel"/>
    <w:lvl w:ilvl="0">
      <w:lvlJc w:val="left"/>
      <w:lvlText w:val="(%1)"/>
      <w:numFmt w:val="lowerLetter"/>
      <w:start w:val="11"/>
    </w:lvl>
    <w:lvl w:ilvl="1">
      <w:lvlJc w:val="left"/>
      <w:lvlText w:val="(%2)"/>
      <w:numFmt w:val="lowerRoman"/>
      <w:start w:val="1"/>
    </w:lvl>
  </w:abstractNum>
  <w:abstractNum w:abstractNumId="88">
    <w:nsid w:val="2708C9AF"/>
    <w:multiLevelType w:val="hybridMultilevel"/>
    <w:lvl w:ilvl="0">
      <w:lvlJc w:val="left"/>
      <w:lvlText w:val="%1"/>
      <w:numFmt w:val="lowerLetter"/>
      <w:start w:val="1"/>
    </w:lvl>
    <w:lvl w:ilvl="1">
      <w:lvlJc w:val="left"/>
      <w:lvlText w:val="(%2)"/>
      <w:numFmt w:val="lowerRoman"/>
      <w:start w:val="3"/>
    </w:lvl>
  </w:abstractNum>
  <w:abstractNum w:abstractNumId="89">
    <w:nsid w:val="5B25ACE2"/>
    <w:multiLevelType w:val="hybridMultilevel"/>
    <w:lvl w:ilvl="0">
      <w:lvlJc w:val="left"/>
      <w:lvlText w:val="(%1)"/>
      <w:numFmt w:val="lowerLetter"/>
      <w:start w:val="12"/>
    </w:lvl>
    <w:lvl w:ilvl="1">
      <w:lvlJc w:val="left"/>
      <w:lvlText w:val="%2"/>
      <w:numFmt w:val="lowerRoman"/>
      <w:start w:val="1"/>
    </w:lvl>
  </w:abstractNum>
  <w:abstractNum w:abstractNumId="90">
    <w:nsid w:val="175DFCF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1">
    <w:nsid w:val="4F97E3E4"/>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92">
    <w:nsid w:val="53B0A9E"/>
    <w:multiLevelType w:val="hybridMultilevel"/>
    <w:lvl w:ilvl="0">
      <w:lvlJc w:val="left"/>
      <w:lvlText w:val="%1"/>
      <w:numFmt w:val="decimal"/>
      <w:start w:val="1"/>
    </w:lvl>
    <w:lvl w:ilvl="1">
      <w:lvlJc w:val="left"/>
      <w:lvlText w:val="(%2)"/>
      <w:numFmt w:val="lowerLetter"/>
      <w:start w:val="3"/>
    </w:lvl>
  </w:abstractNum>
  <w:abstractNum w:abstractNumId="93">
    <w:nsid w:val="34FD6B4F"/>
    <w:multiLevelType w:val="hybridMultilevel"/>
    <w:lvl w:ilvl="0">
      <w:lvlJc w:val="left"/>
      <w:lvlText w:val="%1."/>
      <w:numFmt w:val="decimal"/>
      <w:start w:val="2"/>
    </w:lvl>
    <w:lvl w:ilvl="1">
      <w:lvlJc w:val="left"/>
      <w:lvlText w:val="(%2)"/>
      <w:numFmt w:val="lowerLetter"/>
      <w:start w:val="1"/>
    </w:lvl>
  </w:abstractNum>
  <w:abstractNum w:abstractNumId="94">
    <w:nsid w:val="5915FF32"/>
    <w:multiLevelType w:val="hybridMultilevel"/>
    <w:lvl w:ilvl="0">
      <w:lvlJc w:val="left"/>
      <w:lvlText w:val="(%1)"/>
      <w:numFmt w:val="lowerLetter"/>
      <w:start w:val="3"/>
    </w:lvl>
    <w:lvl w:ilvl="1">
      <w:lvlJc w:val="left"/>
      <w:lvlText w:val="(%2)"/>
      <w:numFmt w:val="lowerRoman"/>
      <w:start w:val="1"/>
    </w:lvl>
  </w:abstractNum>
  <w:abstractNum w:abstractNumId="95">
    <w:nsid w:val="56438D15"/>
    <w:multiLevelType w:val="hybridMultilevel"/>
    <w:lvl w:ilvl="0">
      <w:lvlJc w:val="left"/>
      <w:lvlText w:val="(%1)"/>
      <w:numFmt w:val="lowerRoman"/>
      <w:start w:val="3"/>
    </w:lvl>
  </w:abstractNum>
  <w:abstractNum w:abstractNumId="96">
    <w:nsid w:val="519E3149"/>
    <w:multiLevelType w:val="hybridMultilevel"/>
    <w:lvl w:ilvl="0">
      <w:lvlJc w:val="left"/>
      <w:lvlText w:val="(%1)"/>
      <w:numFmt w:val="lowerLetter"/>
      <w:start w:val="4"/>
    </w:lvl>
  </w:abstractNum>
  <w:abstractNum w:abstractNumId="97">
    <w:nsid w:val="2C6E4AF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8">
    <w:nsid w:val="17A1B5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99">
    <w:nsid w:val="4DF72E4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0">
    <w:nsid w:val="5046B5A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1">
    <w:nsid w:val="5D888A08"/>
    <w:multiLevelType w:val="hybridMultilevel"/>
    <w:lvl w:ilvl="0">
      <w:lvlJc w:val="left"/>
      <w:lvlText w:val="%1"/>
      <w:numFmt w:val="decimal"/>
      <w:start w:val="1"/>
    </w:lvl>
    <w:lvl w:ilvl="1">
      <w:lvlJc w:val="left"/>
      <w:lvlText w:val="(%2)"/>
      <w:numFmt w:val="lowerLetter"/>
      <w:start w:val="2"/>
    </w:lvl>
  </w:abstractNum>
  <w:abstractNum w:abstractNumId="102">
    <w:nsid w:val="2A082C70"/>
    <w:multiLevelType w:val="hybridMultilevel"/>
    <w:lvl w:ilvl="0">
      <w:lvlJc w:val="left"/>
      <w:lvlText w:val="%1."/>
      <w:numFmt w:val="decimal"/>
      <w:start w:val="5"/>
    </w:lvl>
    <w:lvl w:ilvl="1">
      <w:lvlJc w:val="left"/>
      <w:lvlText w:val="%2"/>
      <w:numFmt w:val="lowerLetter"/>
      <w:start w:val="1"/>
    </w:lvl>
  </w:abstractNum>
  <w:abstractNum w:abstractNumId="103">
    <w:nsid w:val="5EC6AFD4"/>
    <w:multiLevelType w:val="hybridMultilevel"/>
    <w:lvl w:ilvl="0">
      <w:lvlJc w:val="left"/>
      <w:lvlText w:val="%1."/>
      <w:numFmt w:val="decimal"/>
      <w:start w:val="6"/>
    </w:lvl>
    <w:lvl w:ilvl="1">
      <w:lvlJc w:val="left"/>
      <w:lvlText w:val="(%2)"/>
      <w:numFmt w:val="lowerLetter"/>
      <w:start w:val="1"/>
    </w:lvl>
  </w:abstractNum>
  <w:abstractNum w:abstractNumId="104">
    <w:nsid w:val="19E21BB2"/>
    <w:multiLevelType w:val="hybridMultilevel"/>
    <w:lvl w:ilvl="0">
      <w:lvlJc w:val="left"/>
      <w:lvlText w:val="%1"/>
      <w:numFmt w:val="decimal"/>
      <w:start w:val="1"/>
    </w:lvl>
    <w:lvl w:ilvl="1">
      <w:lvlJc w:val="left"/>
      <w:lvlText w:val="(%2)"/>
      <w:numFmt w:val="lowerLetter"/>
      <w:start w:val="2"/>
    </w:lvl>
  </w:abstractNum>
  <w:abstractNum w:abstractNumId="105">
    <w:nsid w:val="75E0858A"/>
    <w:multiLevelType w:val="hybridMultilevel"/>
    <w:lvl w:ilvl="0">
      <w:lvlJc w:val="left"/>
      <w:lvlText w:val="%1."/>
      <w:numFmt w:val="decimal"/>
      <w:start w:val="8"/>
    </w:lvl>
    <w:lvl w:ilvl="1">
      <w:lvlJc w:val="left"/>
      <w:lvlText w:val="(%2)"/>
      <w:numFmt w:val="lowerLetter"/>
      <w:start w:val="1"/>
    </w:lvl>
  </w:abstractNum>
  <w:abstractNum w:abstractNumId="106">
    <w:nsid w:val="57A61A29"/>
    <w:multiLevelType w:val="hybridMultilevel"/>
    <w:lvl w:ilvl="0">
      <w:lvlJc w:val="left"/>
      <w:lvlText w:val="%1"/>
      <w:numFmt w:val="decimal"/>
      <w:start w:val="1"/>
    </w:lvl>
    <w:lvl w:ilvl="1">
      <w:lvlJc w:val="left"/>
      <w:lvlText w:val="(%2)"/>
      <w:numFmt w:val="lowerLetter"/>
      <w:start w:val="3"/>
    </w:lvl>
  </w:abstractNum>
  <w:abstractNum w:abstractNumId="107">
    <w:nsid w:val="5399C654"/>
    <w:multiLevelType w:val="hybridMultilevel"/>
    <w:lvl w:ilvl="0">
      <w:lvlJc w:val="left"/>
      <w:lvlText w:val="%1."/>
      <w:numFmt w:val="decimal"/>
      <w:start w:val="10"/>
    </w:lvl>
    <w:lvl w:ilvl="1">
      <w:lvlJc w:val="left"/>
      <w:lvlText w:val="%2"/>
      <w:numFmt w:val="lowerLetter"/>
      <w:start w:val="1"/>
    </w:lvl>
  </w:abstractNum>
  <w:abstractNum w:abstractNumId="108">
    <w:nsid w:val="20EE1348"/>
    <w:multiLevelType w:val="hybridMultilevel"/>
    <w:lvl w:ilvl="0">
      <w:lvlJc w:val="left"/>
      <w:lvlText w:val="%1."/>
      <w:numFmt w:val="decimal"/>
      <w:start w:val="12"/>
    </w:lvl>
  </w:abstractNum>
  <w:abstractNum w:abstractNumId="109">
    <w:nsid w:val="4427069A"/>
    <w:multiLevelType w:val="hybridMultilevel"/>
    <w:lvl w:ilvl="0">
      <w:lvlJc w:val="left"/>
      <w:lvlText w:val="%1."/>
      <w:numFmt w:val="decimal"/>
      <w:start w:val="15"/>
    </w:lvl>
  </w:abstractNum>
  <w:abstractNum w:abstractNumId="110">
    <w:nsid w:val="B37E80A"/>
    <w:multiLevelType w:val="hybridMultilevel"/>
    <w:lvl w:ilvl="0">
      <w:lvlJc w:val="left"/>
      <w:lvlText w:val="%1."/>
      <w:numFmt w:val="decimal"/>
      <w:start w:val="20"/>
    </w:lvl>
  </w:abstractNum>
  <w:abstractNum w:abstractNumId="111">
    <w:nsid w:val="2157F6BC"/>
    <w:multiLevelType w:val="hybridMultilevel"/>
    <w:lvl w:ilvl="0">
      <w:lvlJc w:val="left"/>
      <w:lvlText w:val="%1."/>
      <w:numFmt w:val="decimal"/>
      <w:start w:val="1"/>
    </w:lvl>
    <w:lvl w:ilvl="1">
      <w:lvlJc w:val="left"/>
      <w:lvlText w:val="(%2)"/>
      <w:numFmt w:val="lowerLetter"/>
      <w:start w:val="1"/>
    </w:lvl>
  </w:abstractNum>
  <w:abstractNum w:abstractNumId="112">
    <w:nsid w:val="704E1DD5"/>
    <w:multiLevelType w:val="hybridMultilevel"/>
    <w:lvl w:ilvl="0">
      <w:lvlJc w:val="left"/>
      <w:lvlText w:val="(%1)"/>
      <w:numFmt w:val="lowerRoman"/>
      <w:start w:val="1"/>
    </w:lvl>
  </w:abstractNum>
  <w:abstractNum w:abstractNumId="113">
    <w:nsid w:val="57D2F10E"/>
    <w:multiLevelType w:val="hybridMultilevel"/>
    <w:lvl w:ilvl="0">
      <w:lvlJc w:val="left"/>
      <w:lvlText w:val="(%1)"/>
      <w:numFmt w:val="lowerLetter"/>
      <w:start w:val="2"/>
    </w:lvl>
  </w:abstractNum>
  <w:abstractNum w:abstractNumId="114">
    <w:nsid w:val="BFFAE18"/>
    <w:multiLevelType w:val="hybridMultilevel"/>
    <w:lvl w:ilvl="0">
      <w:lvlJc w:val="left"/>
      <w:lvlText w:val="%1"/>
      <w:numFmt w:val="lowerLetter"/>
      <w:start w:val="1"/>
    </w:lvl>
    <w:lvl w:ilvl="1">
      <w:lvlJc w:val="left"/>
      <w:lvlText w:val="(%2)"/>
      <w:numFmt w:val="lowerLetter"/>
      <w:start w:val="5"/>
    </w:lvl>
  </w:abstractNum>
  <w:abstractNum w:abstractNumId="115">
    <w:nsid w:val="E3E47A8"/>
    <w:multiLevelType w:val="hybridMultilevel"/>
    <w:lvl w:ilvl="0">
      <w:lvlJc w:val="left"/>
      <w:lvlText w:val="(%1)"/>
      <w:numFmt w:val="lowerLetter"/>
      <w:start w:val="3"/>
    </w:lvl>
    <w:lvl w:ilvl="1">
      <w:lvlJc w:val="left"/>
      <w:lvlText w:val="(%2)"/>
      <w:numFmt w:val="lowerLetter"/>
      <w:start w:val="6"/>
    </w:lvl>
  </w:abstractNum>
  <w:abstractNum w:abstractNumId="116">
    <w:nsid w:val="2E48F044"/>
    <w:multiLevelType w:val="hybridMultilevel"/>
    <w:lvl w:ilvl="0">
      <w:lvlJc w:val="left"/>
      <w:lvlText w:val="%1."/>
      <w:numFmt w:val="decimal"/>
      <w:start w:val="2"/>
    </w:lvl>
  </w:abstractNum>
  <w:abstractNum w:abstractNumId="117">
    <w:nsid w:val="49D0FEAC"/>
    <w:multiLevelType w:val="hybridMultilevel"/>
    <w:lvl w:ilvl="0">
      <w:lvlJc w:val="left"/>
      <w:lvlText w:val="%1"/>
      <w:numFmt w:val="decimal"/>
      <w:start w:val="1"/>
    </w:lvl>
    <w:lvl w:ilvl="1">
      <w:lvlJc w:val="left"/>
      <w:lvlText w:val="(%2)"/>
      <w:numFmt w:val="lowerLetter"/>
      <w:start w:val="1"/>
    </w:lvl>
  </w:abstractNum>
  <w:abstractNum w:abstractNumId="118">
    <w:nsid w:val="4BEE5A5B"/>
    <w:multiLevelType w:val="hybridMultilevel"/>
    <w:lvl w:ilvl="0">
      <w:lvlJc w:val="left"/>
      <w:lvlText w:val="%1."/>
      <w:numFmt w:val="decimal"/>
      <w:start w:val="3"/>
    </w:lvl>
    <w:lvl w:ilvl="1">
      <w:lvlJc w:val="left"/>
      <w:lvlText w:val="%2"/>
      <w:numFmt w:val="lowerLetter"/>
      <w:start w:val="1"/>
    </w:lvl>
  </w:abstractNum>
  <w:abstractNum w:abstractNumId="119">
    <w:nsid w:val="5551B9F3"/>
    <w:multiLevelType w:val="hybridMultilevel"/>
    <w:lvl w:ilvl="0">
      <w:lvlJc w:val="left"/>
      <w:lvlText w:val="%1."/>
      <w:numFmt w:val="decimal"/>
      <w:start w:val="4"/>
    </w:lvl>
    <w:lvl w:ilvl="1">
      <w:lvlJc w:val="left"/>
      <w:lvlText w:val="(%2)"/>
      <w:numFmt w:val="lowerLetter"/>
      <w:start w:val="1"/>
    </w:lvl>
  </w:abstractNum>
  <w:abstractNum w:abstractNumId="120">
    <w:nsid w:val="24F6AB8E"/>
    <w:multiLevelType w:val="hybridMultilevel"/>
    <w:lvl w:ilvl="0">
      <w:lvlJc w:val="left"/>
      <w:lvlText w:val="%1."/>
      <w:numFmt w:val="decimal"/>
      <w:start w:val="5"/>
    </w:lvl>
    <w:lvl w:ilvl="1">
      <w:lvlJc w:val="left"/>
      <w:lvlText w:val="(%2)"/>
      <w:numFmt w:val="lowerLetter"/>
      <w:start w:val="1"/>
    </w:lvl>
  </w:abstractNum>
  <w:abstractNum w:abstractNumId="121">
    <w:nsid w:val="634C574C"/>
    <w:multiLevelType w:val="hybridMultilevel"/>
    <w:lvl w:ilvl="0">
      <w:lvlJc w:val="left"/>
      <w:lvlText w:val="%1"/>
      <w:numFmt w:val="lowerLetter"/>
      <w:start w:val="1"/>
    </w:lvl>
    <w:lvl w:ilvl="1">
      <w:lvlJc w:val="left"/>
      <w:lvlText w:val="(%2)"/>
      <w:numFmt w:val="lowerLetter"/>
      <w:start w:val="2"/>
    </w:lvl>
  </w:abstractNum>
  <w:abstractNum w:abstractNumId="122">
    <w:nsid w:val="24E99DD7"/>
    <w:multiLevelType w:val="hybridMultilevel"/>
    <w:lvl w:ilvl="0">
      <w:lvlJc w:val="left"/>
      <w:lvlText w:val="(%1)"/>
      <w:numFmt w:val="lowerLetter"/>
      <w:start w:val="9"/>
    </w:lvl>
    <w:lvl w:ilvl="1">
      <w:lvlJc w:val="left"/>
      <w:lvlText w:val="%2"/>
      <w:numFmt w:val="lowerLetter"/>
      <w:start w:val="1"/>
    </w:lvl>
  </w:abstractNum>
  <w:abstractNum w:abstractNumId="123">
    <w:nsid w:val="2A31B62D"/>
    <w:multiLevelType w:val="hybridMultilevel"/>
    <w:lvl w:ilvl="0">
      <w:lvlJc w:val="left"/>
      <w:lvlText w:val="%1."/>
      <w:numFmt w:val="decimal"/>
      <w:start w:val="8"/>
    </w:lvl>
  </w:abstractNum>
  <w:abstractNum w:abstractNumId="124">
    <w:nsid w:val="1849C29B"/>
    <w:multiLevelType w:val="hybridMultilevel"/>
    <w:lvl w:ilvl="0">
      <w:lvlJc w:val="left"/>
      <w:lvlText w:val="%1."/>
      <w:numFmt w:val="decimal"/>
      <w:start w:val="9"/>
    </w:lvl>
  </w:abstractNum>
  <w:abstractNum w:abstractNumId="125">
    <w:nsid w:val="7DFF9D09"/>
    <w:multiLevelType w:val="hybridMultilevel"/>
    <w:lvl w:ilvl="0">
      <w:lvlJc w:val="left"/>
      <w:lvlText w:val="%1."/>
      <w:numFmt w:val="decimal"/>
      <w:start w:val="12"/>
    </w:lvl>
    <w:lvl w:ilvl="1">
      <w:lvlJc w:val="left"/>
      <w:lvlText w:val="(%2)"/>
      <w:numFmt w:val="lowerLetter"/>
      <w:start w:val="1"/>
    </w:lvl>
  </w:abstractNum>
  <w:abstractNum w:abstractNumId="126">
    <w:nsid w:val="754342"/>
    <w:multiLevelType w:val="hybridMultilevel"/>
    <w:lvl w:ilvl="0">
      <w:lvlJc w:val="left"/>
      <w:lvlText w:val="(%1)"/>
      <w:numFmt w:val="lowerLetter"/>
      <w:start w:val="3"/>
    </w:lvl>
  </w:abstractNum>
  <w:abstractNum w:abstractNumId="127">
    <w:nsid w:val="69E7F3E5"/>
    <w:multiLevelType w:val="hybridMultilevel"/>
    <w:lvl w:ilvl="0">
      <w:lvlJc w:val="left"/>
      <w:lvlText w:val="(%1)"/>
      <w:numFmt w:val="lowerLetter"/>
      <w:start w:val="9"/>
    </w:lvl>
  </w:abstractNum>
  <w:abstractNum w:abstractNumId="128">
    <w:nsid w:val="2A6DE806"/>
    <w:multiLevelType w:val="hybridMultilevel"/>
    <w:lvl w:ilvl="0">
      <w:lvlJc w:val="left"/>
      <w:lvlText w:val="%1."/>
      <w:numFmt w:val="decimal"/>
      <w:start w:val="2"/>
    </w:lvl>
  </w:abstractNum>
  <w:abstractNum w:abstractNumId="129">
    <w:nsid w:val="1816F8C4"/>
    <w:multiLevelType w:val="hybridMultilevel"/>
    <w:lvl w:ilvl="0">
      <w:lvlJc w:val="left"/>
      <w:lvlText w:val="%1."/>
      <w:numFmt w:val="decimal"/>
      <w:start w:val="1"/>
    </w:lvl>
    <w:lvl w:ilvl="1">
      <w:lvlJc w:val="left"/>
      <w:lvlText w:val="(%2)"/>
      <w:numFmt w:val="lowerLetter"/>
      <w:start w:val="1"/>
    </w:lvl>
  </w:abstractNum>
  <w:abstractNum w:abstractNumId="130">
    <w:nsid w:val="37DF2233"/>
    <w:multiLevelType w:val="hybridMultilevel"/>
    <w:lvl w:ilvl="0">
      <w:lvlJc w:val="left"/>
      <w:lvlText w:val="(%1)"/>
      <w:numFmt w:val="lowerRoman"/>
      <w:start w:val="1"/>
    </w:lvl>
  </w:abstractNum>
  <w:abstractNum w:abstractNumId="131">
    <w:nsid w:val="7AB49DAF"/>
    <w:multiLevelType w:val="hybridMultilevel"/>
    <w:lvl w:ilvl="0">
      <w:lvlJc w:val="left"/>
      <w:lvlText w:val="(%1)"/>
      <w:numFmt w:val="lowerLetter"/>
      <w:start w:val="2"/>
    </w:lvl>
  </w:abstractNum>
  <w:abstractNum w:abstractNumId="132">
    <w:nsid w:val="759F82CD"/>
    <w:multiLevelType w:val="hybridMultilevel"/>
    <w:lvl w:ilvl="0">
      <w:lvlJc w:val="left"/>
      <w:lvlText w:val="%1"/>
      <w:numFmt w:val="lowerLetter"/>
      <w:start w:val="1"/>
    </w:lvl>
    <w:lvl w:ilvl="1">
      <w:lvlJc w:val="left"/>
      <w:lvlText w:val="(%2)"/>
      <w:numFmt w:val="lowerLetter"/>
      <w:start w:val="5"/>
    </w:lvl>
  </w:abstractNum>
  <w:abstractNum w:abstractNumId="133">
    <w:nsid w:val="61E74EA3"/>
    <w:multiLevelType w:val="hybridMultilevel"/>
    <w:lvl w:ilvl="0">
      <w:lvlJc w:val="left"/>
      <w:lvlText w:val="(%1)"/>
      <w:numFmt w:val="lowerLetter"/>
      <w:start w:val="3"/>
    </w:lvl>
    <w:lvl w:ilvl="1">
      <w:lvlJc w:val="left"/>
      <w:lvlText w:val="%2"/>
      <w:numFmt w:val="lowerLetter"/>
      <w:start w:val="1"/>
    </w:lvl>
  </w:abstractNum>
  <w:abstractNum w:abstractNumId="134">
    <w:nsid w:val="597B4D84"/>
    <w:multiLevelType w:val="hybridMultilevel"/>
    <w:lvl w:ilvl="0">
      <w:lvlJc w:val="left"/>
      <w:lvlText w:val="%1"/>
      <w:numFmt w:val="decimal"/>
      <w:start w:val="1"/>
    </w:lvl>
    <w:lvl w:ilvl="1">
      <w:lvlJc w:val="left"/>
      <w:lvlText w:val="(%2)"/>
      <w:numFmt w:val="lowerLetter"/>
      <w:start w:val="8"/>
    </w:lvl>
  </w:abstractNum>
  <w:abstractNum w:abstractNumId="135">
    <w:nsid w:val="F819E7F"/>
    <w:multiLevelType w:val="hybridMultilevel"/>
    <w:lvl w:ilvl="0">
      <w:lvlJc w:val="left"/>
      <w:lvlText w:val="%1."/>
      <w:numFmt w:val="decimal"/>
      <w:start w:val="2"/>
    </w:lvl>
    <w:lvl w:ilvl="1">
      <w:lvlJc w:val="left"/>
      <w:lvlText w:val="(%2)"/>
      <w:numFmt w:val="lowerLetter"/>
      <w:start w:val="1"/>
    </w:lvl>
  </w:abstractNum>
  <w:abstractNum w:abstractNumId="136">
    <w:nsid w:val="57C7D42D"/>
    <w:multiLevelType w:val="hybridMultilevel"/>
    <w:lvl w:ilvl="0">
      <w:lvlJc w:val="left"/>
      <w:lvlText w:val="%1."/>
      <w:numFmt w:val="decimal"/>
      <w:start w:val="3"/>
    </w:lvl>
    <w:lvl w:ilvl="1">
      <w:lvlJc w:val="left"/>
      <w:lvlText w:val="(%2)"/>
      <w:numFmt w:val="lowerLetter"/>
      <w:start w:val="1"/>
    </w:lvl>
  </w:abstractNum>
  <w:abstractNum w:abstractNumId="137">
    <w:nsid w:val="312167AD"/>
    <w:multiLevelType w:val="hybridMultilevel"/>
    <w:lvl w:ilvl="0">
      <w:lvlJc w:val="left"/>
      <w:lvlText w:val="%1"/>
      <w:numFmt w:val="decimal"/>
      <w:start w:val="1"/>
    </w:lvl>
    <w:lvl w:ilvl="1">
      <w:lvlJc w:val="left"/>
      <w:lvlText w:val="(%2)"/>
      <w:numFmt w:val="lowerLetter"/>
      <w:start w:val="2"/>
    </w:lvl>
  </w:abstractNum>
  <w:abstractNum w:abstractNumId="138">
    <w:nsid w:val="631B64D4"/>
    <w:multiLevelType w:val="hybridMultilevel"/>
    <w:lvl w:ilvl="0">
      <w:lvlJc w:val="left"/>
      <w:lvlText w:val="%1."/>
      <w:numFmt w:val="decimal"/>
      <w:start w:val="5"/>
    </w:lvl>
    <w:lvl w:ilvl="1">
      <w:lvlJc w:val="left"/>
      <w:lvlText w:val="%2"/>
      <w:numFmt w:val="lowerLetter"/>
      <w:start w:val="1"/>
    </w:lvl>
  </w:abstractNum>
  <w:abstractNum w:abstractNumId="139">
    <w:nsid w:val="78B5E776"/>
    <w:multiLevelType w:val="hybridMultilevel"/>
    <w:lvl w:ilvl="0">
      <w:lvlJc w:val="left"/>
      <w:lvlText w:val="%1."/>
      <w:numFmt w:val="decimal"/>
      <w:start w:val="6"/>
    </w:lvl>
    <w:lvl w:ilvl="1">
      <w:lvlJc w:val="left"/>
      <w:lvlText w:val="(%2)"/>
      <w:numFmt w:val="lowerLetter"/>
      <w:start w:val="1"/>
    </w:lvl>
  </w:abstractNum>
  <w:abstractNum w:abstractNumId="140">
    <w:nsid w:val="75486E47"/>
    <w:multiLevelType w:val="hybridMultilevel"/>
    <w:lvl w:ilvl="0">
      <w:lvlJc w:val="left"/>
      <w:lvlText w:val="%1"/>
      <w:numFmt w:val="lowerLetter"/>
      <w:start w:val="1"/>
    </w:lvl>
    <w:lvl w:ilvl="1">
      <w:lvlJc w:val="left"/>
      <w:lvlText w:val="(%2)"/>
      <w:numFmt w:val="lowerLetter"/>
      <w:start w:val="4"/>
    </w:lvl>
  </w:abstractNum>
  <w:abstractNum w:abstractNumId="141">
    <w:nsid w:val="6E534CDE"/>
    <w:multiLevelType w:val="hybridMultilevel"/>
    <w:lvl w:ilvl="0">
      <w:lvlJc w:val="left"/>
      <w:lvlText w:val="(%1)"/>
      <w:numFmt w:val="lowerLetter"/>
      <w:start w:val="9"/>
    </w:lvl>
    <w:lvl w:ilvl="1">
      <w:lvlJc w:val="left"/>
      <w:lvlText w:val="%2"/>
      <w:numFmt w:val="lowerLetter"/>
      <w:start w:val="1"/>
    </w:lvl>
  </w:abstractNum>
  <w:abstractNum w:abstractNumId="142">
    <w:nsid w:val="1A0DDE32"/>
    <w:multiLevelType w:val="hybridMultilevel"/>
    <w:lvl w:ilvl="0">
      <w:lvlJc w:val="left"/>
      <w:lvlText w:val="%1."/>
      <w:numFmt w:val="decimal"/>
      <w:start w:val="8"/>
    </w:lvl>
  </w:abstractNum>
  <w:abstractNum w:abstractNumId="143">
    <w:nsid w:val="65968C1C"/>
    <w:multiLevelType w:val="hybridMultilevel"/>
    <w:lvl w:ilvl="0">
      <w:lvlJc w:val="left"/>
      <w:lvlText w:val="%1."/>
      <w:numFmt w:val="decimal"/>
      <w:start w:val="9"/>
    </w:lvl>
  </w:abstractNum>
  <w:abstractNum w:abstractNumId="144">
    <w:nsid w:val="46263DEC"/>
    <w:multiLevelType w:val="hybridMultilevel"/>
    <w:lvl w:ilvl="0">
      <w:lvlJc w:val="left"/>
      <w:lvlText w:val="%1."/>
      <w:numFmt w:val="decimal"/>
      <w:start w:val="11"/>
    </w:lvl>
  </w:abstractNum>
  <w:abstractNum w:abstractNumId="145">
    <w:nsid w:val="260D8C4A"/>
    <w:multiLevelType w:val="hybridMultilevel"/>
    <w:lvl w:ilvl="0">
      <w:lvlJc w:val="left"/>
      <w:lvlText w:val="%1."/>
      <w:numFmt w:val="decimal"/>
      <w:start w:val="15"/>
    </w:lvl>
    <w:lvl w:ilvl="1">
      <w:lvlJc w:val="left"/>
      <w:lvlText w:val="(%2)"/>
      <w:numFmt w:val="lowerLetter"/>
      <w:start w:val="1"/>
    </w:lvl>
  </w:abstractNum>
  <w:abstractNum w:abstractNumId="146">
    <w:nsid w:val="73D4D3C4"/>
    <w:multiLevelType w:val="hybridMultilevel"/>
    <w:lvl w:ilvl="0">
      <w:lvlJc w:val="left"/>
      <w:lvlText w:val="(%1)"/>
      <w:numFmt w:val="lowerLetter"/>
      <w:start w:val="6"/>
    </w:lvl>
  </w:abstractNum>
  <w:abstractNum w:abstractNumId="147">
    <w:nsid w:val="746F2E30"/>
    <w:multiLevelType w:val="hybridMultilevel"/>
    <w:lvl w:ilvl="0">
      <w:lvlJc w:val="left"/>
      <w:lvlText w:val="%1."/>
      <w:numFmt w:val="decimal"/>
      <w:start w:val="2"/>
    </w:lvl>
  </w:abstractNum>
  <w:abstractNum w:abstractNumId="148">
    <w:nsid w:val="6FDE8AF6"/>
    <w:multiLevelType w:val="hybridMultilevel"/>
    <w:lvl w:ilvl="0">
      <w:lvlJc w:val="left"/>
      <w:lvlText w:val="(%1)"/>
      <w:numFmt w:val="lowerLetter"/>
      <w:start w:val="1"/>
    </w:lvl>
  </w:abstractNum>
  <w:abstractNum w:abstractNumId="149">
    <w:nsid w:val="3FC32E20"/>
    <w:multiLevelType w:val="hybridMultilevel"/>
    <w:lvl w:ilvl="0">
      <w:lvlJc w:val="left"/>
      <w:lvlText w:val="(%1)"/>
      <w:numFmt w:val="lowerRoman"/>
      <w:start w:val="5"/>
    </w:lvl>
  </w:abstractNum>
  <w:abstractNum w:abstractNumId="150">
    <w:nsid w:val="49C0E823"/>
    <w:multiLevelType w:val="hybridMultilevel"/>
    <w:lvl w:ilvl="0">
      <w:lvlJc w:val="left"/>
      <w:lvlText w:val="(%1)"/>
      <w:numFmt w:val="lowerLetter"/>
      <w:start w:val="1"/>
    </w:lvl>
  </w:abstractNum>
  <w:abstractNum w:abstractNumId="151">
    <w:nsid w:val="14D53685"/>
    <w:multiLevelType w:val="hybridMultilevel"/>
    <w:lvl w:ilvl="0">
      <w:lvlJc w:val="left"/>
      <w:lvlText w:val="(%1)"/>
      <w:numFmt w:val="lowerLetter"/>
      <w:start w:val="1"/>
    </w:lvl>
  </w:abstractNum>
  <w:abstractNum w:abstractNumId="152">
    <w:nsid w:val="230F856C"/>
    <w:multiLevelType w:val="hybridMultilevel"/>
    <w:lvl w:ilvl="0">
      <w:lvlJc w:val="left"/>
      <w:lvlText w:val="(%1)"/>
      <w:numFmt w:val="decimal"/>
      <w:start w:val="1"/>
    </w:lvl>
  </w:abstractNum>
  <w:abstractNum w:abstractNumId="153">
    <w:nsid w:val="6EAA85FB"/>
    <w:multiLevelType w:val="hybridMultilevel"/>
    <w:lvl w:ilvl="0">
      <w:lvlJc w:val="left"/>
      <w:lvlText w:val="(%1)"/>
      <w:numFmt w:val="decimal"/>
      <w:start w:val="4"/>
    </w:lvl>
  </w:abstractNum>
  <w:abstractNum w:abstractNumId="154">
    <w:nsid w:val="3F06E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85" Type="http://schemas.openxmlformats.org/officeDocument/2006/relationships/image" Target="media/image64.png"/><Relationship Id="rId98" Type="http://schemas.openxmlformats.org/officeDocument/2006/relationships/image" Target="media/image65.png"/><Relationship Id="rId112" Type="http://schemas.openxmlformats.org/officeDocument/2006/relationships/image" Target="media/image66.png"/><Relationship Id="rId123" Type="http://schemas.openxmlformats.org/officeDocument/2006/relationships/image" Target="media/image67.png"/><Relationship Id="rId126" Type="http://schemas.openxmlformats.org/officeDocument/2006/relationships/image" Target="media/image68.png"/><Relationship Id="rId127" Type="http://schemas.openxmlformats.org/officeDocument/2006/relationships/image" Target="media/image69.png"/><Relationship Id="rId128" Type="http://schemas.openxmlformats.org/officeDocument/2006/relationships/image" Target="media/image70.png"/><Relationship Id="rId129" Type="http://schemas.openxmlformats.org/officeDocument/2006/relationships/image" Target="media/image71.png"/><Relationship Id="rId130" Type="http://schemas.openxmlformats.org/officeDocument/2006/relationships/image" Target="media/image72.jpeg"/><Relationship Id="rId131" Type="http://schemas.openxmlformats.org/officeDocument/2006/relationships/image" Target="media/image73.png"/><Relationship Id="rId132" Type="http://schemas.openxmlformats.org/officeDocument/2006/relationships/image" Target="media/image74.jpeg"/><Relationship Id="rId133" Type="http://schemas.openxmlformats.org/officeDocument/2006/relationships/image" Target="media/image75.jpeg"/><Relationship Id="rId134" Type="http://schemas.openxmlformats.org/officeDocument/2006/relationships/image" Target="media/image76.png"/><Relationship Id="rId135" Type="http://schemas.openxmlformats.org/officeDocument/2006/relationships/image" Target="media/image77.png"/><Relationship Id="rId136" Type="http://schemas.openxmlformats.org/officeDocument/2006/relationships/image" Target="media/image78.jpeg"/><Relationship Id="rId137" Type="http://schemas.openxmlformats.org/officeDocument/2006/relationships/image" Target="media/image79.png"/><Relationship Id="rId138" Type="http://schemas.openxmlformats.org/officeDocument/2006/relationships/image" Target="media/image80.png"/><Relationship Id="rId139" Type="http://schemas.openxmlformats.org/officeDocument/2006/relationships/image" Target="media/image81.png"/><Relationship Id="rId140" Type="http://schemas.openxmlformats.org/officeDocument/2006/relationships/image" Target="media/image82.png"/><Relationship Id="rId141" Type="http://schemas.openxmlformats.org/officeDocument/2006/relationships/image" Target="media/image83.png"/><Relationship Id="rId142"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45" Type="http://schemas.openxmlformats.org/officeDocument/2006/relationships/image" Target="media/image87.png"/><Relationship Id="rId146" Type="http://schemas.openxmlformats.org/officeDocument/2006/relationships/image" Target="media/image88.png"/><Relationship Id="rId147" Type="http://schemas.openxmlformats.org/officeDocument/2006/relationships/image" Target="media/image89.png"/><Relationship Id="rId148" Type="http://schemas.openxmlformats.org/officeDocument/2006/relationships/image" Target="media/image90.png"/><Relationship Id="rId149" Type="http://schemas.openxmlformats.org/officeDocument/2006/relationships/image" Target="media/image91.png"/><Relationship Id="rId150" Type="http://schemas.openxmlformats.org/officeDocument/2006/relationships/image" Target="media/image92.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239" Type="http://schemas.openxmlformats.org/officeDocument/2006/relationships/image" Target="media/image181.png"/><Relationship Id="rId240" Type="http://schemas.openxmlformats.org/officeDocument/2006/relationships/image" Target="media/image182.png"/><Relationship Id="rId241" Type="http://schemas.openxmlformats.org/officeDocument/2006/relationships/image" Target="media/image183.png"/><Relationship Id="rId242" Type="http://schemas.openxmlformats.org/officeDocument/2006/relationships/image" Target="media/image184.png"/><Relationship Id="rId243" Type="http://schemas.openxmlformats.org/officeDocument/2006/relationships/image" Target="media/image185.png"/><Relationship Id="rId244" Type="http://schemas.openxmlformats.org/officeDocument/2006/relationships/image" Target="media/image186.png"/><Relationship Id="rId245" Type="http://schemas.openxmlformats.org/officeDocument/2006/relationships/image" Target="media/image187.png"/><Relationship Id="rId246" Type="http://schemas.openxmlformats.org/officeDocument/2006/relationships/image" Target="media/image188.png"/><Relationship Id="rId247" Type="http://schemas.openxmlformats.org/officeDocument/2006/relationships/image" Target="media/image189.png"/><Relationship Id="rId248" Type="http://schemas.openxmlformats.org/officeDocument/2006/relationships/image" Target="media/image190.png"/><Relationship Id="rId249" Type="http://schemas.openxmlformats.org/officeDocument/2006/relationships/image" Target="media/image191.png"/><Relationship Id="rId250" Type="http://schemas.openxmlformats.org/officeDocument/2006/relationships/image" Target="media/image192.png"/><Relationship Id="rId251" Type="http://schemas.openxmlformats.org/officeDocument/2006/relationships/image" Target="media/image193.png"/><Relationship Id="rId252"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5" Type="http://schemas.openxmlformats.org/officeDocument/2006/relationships/image" Target="media/image197.png"/><Relationship Id="rId256" Type="http://schemas.openxmlformats.org/officeDocument/2006/relationships/image" Target="media/image198.png"/><Relationship Id="rId257" Type="http://schemas.openxmlformats.org/officeDocument/2006/relationships/image" Target="media/image199.png"/><Relationship Id="rId258" Type="http://schemas.openxmlformats.org/officeDocument/2006/relationships/image" Target="media/image200.png"/><Relationship Id="rId259" Type="http://schemas.openxmlformats.org/officeDocument/2006/relationships/image" Target="media/image201.png"/><Relationship Id="rId260" Type="http://schemas.openxmlformats.org/officeDocument/2006/relationships/image" Target="media/image202.png"/><Relationship Id="rId261" Type="http://schemas.openxmlformats.org/officeDocument/2006/relationships/image" Target="media/image203.png"/><Relationship Id="rId262" Type="http://schemas.openxmlformats.org/officeDocument/2006/relationships/image" Target="media/image204.png"/><Relationship Id="rId263" Type="http://schemas.openxmlformats.org/officeDocument/2006/relationships/image" Target="media/image205.png"/><Relationship Id="rId264" Type="http://schemas.openxmlformats.org/officeDocument/2006/relationships/image" Target="media/image206.png"/><Relationship Id="rId265" Type="http://schemas.openxmlformats.org/officeDocument/2006/relationships/image" Target="media/image207.png"/><Relationship Id="rId266" Type="http://schemas.openxmlformats.org/officeDocument/2006/relationships/image" Target="media/image208.png"/><Relationship Id="rId267" Type="http://schemas.openxmlformats.org/officeDocument/2006/relationships/image" Target="media/image209.png"/><Relationship Id="rId268" Type="http://schemas.openxmlformats.org/officeDocument/2006/relationships/image" Target="media/image210.png"/><Relationship Id="rId269" Type="http://schemas.openxmlformats.org/officeDocument/2006/relationships/image" Target="media/image211.png"/><Relationship Id="rId270" Type="http://schemas.openxmlformats.org/officeDocument/2006/relationships/image" Target="media/image212.png"/><Relationship Id="rId271" Type="http://schemas.openxmlformats.org/officeDocument/2006/relationships/image" Target="media/image213.png"/><Relationship Id="rId272" Type="http://schemas.openxmlformats.org/officeDocument/2006/relationships/image" Target="media/image214.png"/><Relationship Id="rId273" Type="http://schemas.openxmlformats.org/officeDocument/2006/relationships/image" Target="media/image215.png"/><Relationship Id="rId274" Type="http://schemas.openxmlformats.org/officeDocument/2006/relationships/image" Target="media/image216.png"/><Relationship Id="rId275" Type="http://schemas.openxmlformats.org/officeDocument/2006/relationships/image" Target="media/image217.png"/><Relationship Id="rId276" Type="http://schemas.openxmlformats.org/officeDocument/2006/relationships/image" Target="media/image218.png"/><Relationship Id="rId277" Type="http://schemas.openxmlformats.org/officeDocument/2006/relationships/image" Target="media/image219.png"/><Relationship Id="rId278" Type="http://schemas.openxmlformats.org/officeDocument/2006/relationships/image" Target="media/image220.png"/><Relationship Id="rId279" Type="http://schemas.openxmlformats.org/officeDocument/2006/relationships/image" Target="media/image221.png"/><Relationship Id="rId280" Type="http://schemas.openxmlformats.org/officeDocument/2006/relationships/image" Target="media/image222.png"/><Relationship Id="rId281" Type="http://schemas.openxmlformats.org/officeDocument/2006/relationships/image" Target="media/image223.png"/><Relationship Id="rId282" Type="http://schemas.openxmlformats.org/officeDocument/2006/relationships/image" Target="media/image224.png"/><Relationship Id="rId283" Type="http://schemas.openxmlformats.org/officeDocument/2006/relationships/image" Target="media/image225.png"/><Relationship Id="rId284" Type="http://schemas.openxmlformats.org/officeDocument/2006/relationships/image" Target="media/image226.png"/><Relationship Id="rId285" Type="http://schemas.openxmlformats.org/officeDocument/2006/relationships/image" Target="media/image227.png"/><Relationship Id="rId286" Type="http://schemas.openxmlformats.org/officeDocument/2006/relationships/image" Target="media/image228.png"/><Relationship Id="rId287" Type="http://schemas.openxmlformats.org/officeDocument/2006/relationships/image" Target="media/image229.png"/><Relationship Id="rId288" Type="http://schemas.openxmlformats.org/officeDocument/2006/relationships/image" Target="media/image230.png"/><Relationship Id="rId289" Type="http://schemas.openxmlformats.org/officeDocument/2006/relationships/image" Target="media/image231.png"/><Relationship Id="rId290" Type="http://schemas.openxmlformats.org/officeDocument/2006/relationships/image" Target="media/image232.png"/><Relationship Id="rId291" Type="http://schemas.openxmlformats.org/officeDocument/2006/relationships/image" Target="media/image233.png"/><Relationship Id="rId292" Type="http://schemas.openxmlformats.org/officeDocument/2006/relationships/image" Target="media/image234.png"/><Relationship Id="rId293" Type="http://schemas.openxmlformats.org/officeDocument/2006/relationships/image" Target="media/image235.png"/><Relationship Id="rId294" Type="http://schemas.openxmlformats.org/officeDocument/2006/relationships/image" Target="media/image236.png"/><Relationship Id="rId295" Type="http://schemas.openxmlformats.org/officeDocument/2006/relationships/image" Target="media/image237.png"/><Relationship Id="rId296" Type="http://schemas.openxmlformats.org/officeDocument/2006/relationships/image" Target="media/image238.png"/><Relationship Id="rId297" Type="http://schemas.openxmlformats.org/officeDocument/2006/relationships/image" Target="media/image239.png"/><Relationship Id="rId298" Type="http://schemas.openxmlformats.org/officeDocument/2006/relationships/image" Target="media/image240.png"/><Relationship Id="rId299" Type="http://schemas.openxmlformats.org/officeDocument/2006/relationships/image" Target="media/image241.png"/><Relationship Id="rId300" Type="http://schemas.openxmlformats.org/officeDocument/2006/relationships/image" Target="media/image242.png"/><Relationship Id="rId301" Type="http://schemas.openxmlformats.org/officeDocument/2006/relationships/image" Target="media/image243.png"/><Relationship Id="rId302" Type="http://schemas.openxmlformats.org/officeDocument/2006/relationships/image" Target="media/image244.png"/><Relationship Id="rId303" Type="http://schemas.openxmlformats.org/officeDocument/2006/relationships/image" Target="media/image245.png"/><Relationship Id="rId304" Type="http://schemas.openxmlformats.org/officeDocument/2006/relationships/image" Target="media/image246.png"/><Relationship Id="rId305" Type="http://schemas.openxmlformats.org/officeDocument/2006/relationships/image" Target="media/image247.png"/><Relationship Id="rId306" Type="http://schemas.openxmlformats.org/officeDocument/2006/relationships/image" Target="media/image248.png"/><Relationship Id="rId307" Type="http://schemas.openxmlformats.org/officeDocument/2006/relationships/image" Target="media/image249.png"/><Relationship Id="rId308" Type="http://schemas.openxmlformats.org/officeDocument/2006/relationships/image" Target="media/image250.png"/><Relationship Id="rId309" Type="http://schemas.openxmlformats.org/officeDocument/2006/relationships/image" Target="media/image251.png"/><Relationship Id="rId310" Type="http://schemas.openxmlformats.org/officeDocument/2006/relationships/image" Target="media/image252.png"/><Relationship Id="rId311" Type="http://schemas.openxmlformats.org/officeDocument/2006/relationships/image" Target="media/image253.png"/><Relationship Id="rId312" Type="http://schemas.openxmlformats.org/officeDocument/2006/relationships/image" Target="media/image254.png"/><Relationship Id="rId313" Type="http://schemas.openxmlformats.org/officeDocument/2006/relationships/image" Target="media/image255.png"/><Relationship Id="rId314" Type="http://schemas.openxmlformats.org/officeDocument/2006/relationships/image" Target="media/image256.png"/><Relationship Id="rId315" Type="http://schemas.openxmlformats.org/officeDocument/2006/relationships/image" Target="media/image257.png"/><Relationship Id="rId316" Type="http://schemas.openxmlformats.org/officeDocument/2006/relationships/image" Target="media/image258.png"/><Relationship Id="rId317" Type="http://schemas.openxmlformats.org/officeDocument/2006/relationships/image" Target="media/image259.png"/><Relationship Id="rId318" Type="http://schemas.openxmlformats.org/officeDocument/2006/relationships/image" Target="media/image260.png"/><Relationship Id="rId319" Type="http://schemas.openxmlformats.org/officeDocument/2006/relationships/image" Target="media/image261.png"/><Relationship Id="rId320" Type="http://schemas.openxmlformats.org/officeDocument/2006/relationships/image" Target="media/image262.png"/><Relationship Id="rId321" Type="http://schemas.openxmlformats.org/officeDocument/2006/relationships/image" Target="media/image263.png"/><Relationship Id="rId322" Type="http://schemas.openxmlformats.org/officeDocument/2006/relationships/image" Target="media/image264.png"/><Relationship Id="rId323" Type="http://schemas.openxmlformats.org/officeDocument/2006/relationships/image" Target="media/image265.png"/><Relationship Id="rId324" Type="http://schemas.openxmlformats.org/officeDocument/2006/relationships/image" Target="media/image266.png"/><Relationship Id="rId325" Type="http://schemas.openxmlformats.org/officeDocument/2006/relationships/image" Target="media/image267.png"/><Relationship Id="rId326" Type="http://schemas.openxmlformats.org/officeDocument/2006/relationships/image" Target="media/image268.png"/><Relationship Id="rId327" Type="http://schemas.openxmlformats.org/officeDocument/2006/relationships/image" Target="media/image269.png"/><Relationship Id="rId328" Type="http://schemas.openxmlformats.org/officeDocument/2006/relationships/image" Target="media/image270.png"/><Relationship Id="rId329" Type="http://schemas.openxmlformats.org/officeDocument/2006/relationships/image" Target="media/image271.png"/><Relationship Id="rId65" Type="http://schemas.openxmlformats.org/officeDocument/2006/relationships/hyperlink" Target="https://www.sec.gov/ix?doc=/Archives/edgar/data/1905660/000121390024070066/ea0210187-20f_hubcyber.htm" TargetMode="External"/><Relationship Id="rId66" Type="http://schemas.openxmlformats.org/officeDocument/2006/relationships/hyperlink" Target="https://www.sec.gov/Archives/edgar/data/1905660/000121390024071590/ea0211865-6k_hubcyber.htm" TargetMode="External"/><Relationship Id="rId67" Type="http://schemas.openxmlformats.org/officeDocument/2006/relationships/hyperlink" Target="https://www.sec.gov/Archives/edgar/data/1905660/000121390024073531/ea0212734-6k_hub.htm" TargetMode="External"/><Relationship Id="rId68" Type="http://schemas.openxmlformats.org/officeDocument/2006/relationships/hyperlink" Target="https://www.sec.gov/Archives/edgar/data/1905660/000121390024073925/ea0212833-6k_hub.htm" TargetMode="External"/><Relationship Id="rId69" Type="http://schemas.openxmlformats.org/officeDocument/2006/relationships/hyperlink" Target="https://www.sec.gov/Archives/edgar/data/1905660/000110465923026541/tm237797d1_8a12b.htm" TargetMode="External"/><Relationship Id="rId76" Type="http://schemas.openxmlformats.org/officeDocument/2006/relationships/hyperlink" Target="http://www.sec.gov/Archives/edgar/data/1905660/000121390023095234/ea189902ex99-2_hubcyber.htm" TargetMode="External"/><Relationship Id="rId77" Type="http://schemas.openxmlformats.org/officeDocument/2006/relationships/hyperlink" Target="http://www.sec.gov/Archives/edgar/data/1905660/000121390024070066/ea021018701ex1-2_hubcyber.htm" TargetMode="External"/><Relationship Id="rId78" Type="http://schemas.openxmlformats.org/officeDocument/2006/relationships/hyperlink" Target="http://www.sec.gov/Archives/edgar/data/1905660/000110465922119917/tm2223104d12_ex4-7.htm" TargetMode="External"/><Relationship Id="rId79" Type="http://schemas.openxmlformats.org/officeDocument/2006/relationships/hyperlink" Target="http://www.sec.gov/Archives/edgar/data/1905660/000110465922119917/tm2223104d12_ex4-8.htm" TargetMode="External"/><Relationship Id="rId80" Type="http://schemas.openxmlformats.org/officeDocument/2006/relationships/hyperlink" Target="http://www.sec.gov/Archives/edgar/data/1905660/000110465922119917/tm2223104d12_ex10-11.htm" TargetMode="External"/><Relationship Id="rId81" Type="http://schemas.openxmlformats.org/officeDocument/2006/relationships/hyperlink" Target="http://www.sec.gov/Archives/edgar/data/1905660/000101376223002062/ea186345ex99-1_hubcyber.htm" TargetMode="External"/><Relationship Id="rId82" Type="http://schemas.openxmlformats.org/officeDocument/2006/relationships/hyperlink" Target="http://www.sec.gov/Archives/edgar/data/1905660/000110465922119917/tm2223104d12_ex10-9.htm" TargetMode="External"/><Relationship Id="rId83" Type="http://schemas.openxmlformats.org/officeDocument/2006/relationships/hyperlink" Target="http://www.sec.gov/Archives/edgar/data/1905660/000110465922119917/tm2223104d12_ex10-10.htm" TargetMode="External"/><Relationship Id="rId84" Type="http://schemas.openxmlformats.org/officeDocument/2006/relationships/hyperlink" Target="http://www.sec.gov/Archives/edgar/data/1905660/000110465922093927/tm2223104d2_ex10-4.htm" TargetMode="External"/><Relationship Id="rId86" Type="http://schemas.openxmlformats.org/officeDocument/2006/relationships/hyperlink" Target="http://www.sec.gov/Archives/edgar/data/1905660/000110465922093927/tm2223104d2_ex4-10.htm" TargetMode="External"/><Relationship Id="rId87" Type="http://schemas.openxmlformats.org/officeDocument/2006/relationships/hyperlink" Target="http://www.sec.gov/Archives/edgar/data/1905660/000121390023067760/f20f2022ex4-9_hubcyber.htm" TargetMode="External"/><Relationship Id="rId88" Type="http://schemas.openxmlformats.org/officeDocument/2006/relationships/hyperlink" Target="http://www.sec.gov/Archives/edgar/data/1905660/000121390023067760/f20f2022ex4-10_hubcyber.htm" TargetMode="External"/><Relationship Id="rId89" Type="http://schemas.openxmlformats.org/officeDocument/2006/relationships/hyperlink" Target="http://www.sec.gov/Archives/edgar/data/1905660/000121390023067760/f20f2022ex4-11_hubcyber.htm" TargetMode="External"/><Relationship Id="rId90" Type="http://schemas.openxmlformats.org/officeDocument/2006/relationships/hyperlink" Target="http://www.sec.gov/Archives/edgar/data/1905660/000121390023067760/f20f2022ex4-12_hubcyber.htm" TargetMode="External"/><Relationship Id="rId91" Type="http://schemas.openxmlformats.org/officeDocument/2006/relationships/hyperlink" Target="http://www.sec.gov/Archives/edgar/data/1905660/000110465923039247/tm2311027d1_ex99-1.htm" TargetMode="External"/><Relationship Id="rId92" Type="http://schemas.openxmlformats.org/officeDocument/2006/relationships/hyperlink" Target="http://www.sec.gov/Archives/edgar/data/1905660/000121390023037369/ea178141ex99-1_hubcyber.htm" TargetMode="External"/><Relationship Id="rId93" Type="http://schemas.openxmlformats.org/officeDocument/2006/relationships/hyperlink" Target="http://www.sec.gov/Archives/edgar/data/1905660/000121390023037369/ea178141ex99-2_hubcyber.htm" TargetMode="External"/><Relationship Id="rId94" Type="http://schemas.openxmlformats.org/officeDocument/2006/relationships/hyperlink" Target="http://www.sec.gov/Archives/edgar/data/1905660/000121390023037369/ea178141ex99-3_hubcyber.htm" TargetMode="External"/><Relationship Id="rId95" Type="http://schemas.openxmlformats.org/officeDocument/2006/relationships/hyperlink" Target="http://www.sec.gov/Archives/edgar/data/1905660/000121390023070715/ea184207ex99-1_hubcyber.htm" TargetMode="External"/><Relationship Id="rId96" Type="http://schemas.openxmlformats.org/officeDocument/2006/relationships/hyperlink" Target="http://www.sec.gov/Archives/edgar/data/1905660/000121390023090838/ea189173ex99-1_hubcyber.htm" TargetMode="External"/><Relationship Id="rId97" Type="http://schemas.openxmlformats.org/officeDocument/2006/relationships/hyperlink" Target="http://www.sec.gov/Archives/edgar/data/1905660/000121390023067760/f20f2022ex4-18_hubcyber.htm" TargetMode="External"/><Relationship Id="rId99" Type="http://schemas.openxmlformats.org/officeDocument/2006/relationships/hyperlink" Target="https://www.sec.gov/Archives/edgar/data/1905660/000121390023067760/f20f2022ex4-19_hubcyber.htm" TargetMode="External"/><Relationship Id="rId100" Type="http://schemas.openxmlformats.org/officeDocument/2006/relationships/hyperlink" Target="https://www.sec.gov/Archives/edgar/data/1905660/000121390023067760/f20f2022ex4-20_hubcyber.htm" TargetMode="External"/><Relationship Id="rId101" Type="http://schemas.openxmlformats.org/officeDocument/2006/relationships/hyperlink" Target="https://www.sec.gov/Archives/edgar/data/1905660/000121390023067760/f20f2022ex4-21_hubcyber.htm" TargetMode="External"/><Relationship Id="rId102" Type="http://schemas.openxmlformats.org/officeDocument/2006/relationships/hyperlink" Target="https://www.sec.gov/Archives/edgar/data/1905660/000121390023067760/f20f2022ex4-22_hubcyber.htm" TargetMode="External"/><Relationship Id="rId103" Type="http://schemas.openxmlformats.org/officeDocument/2006/relationships/hyperlink" Target="https://www.sec.gov/Archives/edgar/data/1905660/000121390023067760/f20f2022ex4-23_hubcyber.htm" TargetMode="External"/><Relationship Id="rId104" Type="http://schemas.openxmlformats.org/officeDocument/2006/relationships/hyperlink" Target="https://www.sec.gov/Archives/edgar/data/1905660/000121390024070066/ea021018701ex4-26_hubcyber.htm" TargetMode="External"/><Relationship Id="rId105" Type="http://schemas.openxmlformats.org/officeDocument/2006/relationships/hyperlink" Target="https://www.sec.gov/Archives/edgar/data/1905660/000121390024070066/ea021018701ex4-27_hubcyber.htm" TargetMode="External"/><Relationship Id="rId106" Type="http://schemas.openxmlformats.org/officeDocument/2006/relationships/hyperlink" Target="https://www.sec.gov/Archives/edgar/data/1905660/000121390024070066/ea021018701ex4-28_hubcyber.htm" TargetMode="External"/><Relationship Id="rId107" Type="http://schemas.openxmlformats.org/officeDocument/2006/relationships/hyperlink" Target="https://www.sec.gov/Archives/edgar/data/1905660/000121390024070066/ea021018701ex4-29_hubcyber.htm" TargetMode="External"/><Relationship Id="rId108" Type="http://schemas.openxmlformats.org/officeDocument/2006/relationships/hyperlink" Target="https://www.sec.gov/Archives/edgar/data/1905660/000121390024070066/ea021018701ex4-30_hubcyber.htm" TargetMode="External"/><Relationship Id="rId109" Type="http://schemas.openxmlformats.org/officeDocument/2006/relationships/hyperlink" Target="https://www.sec.gov/Archives/edgar/data/1905660/000121390024070066/ea021018701ex4-31_hubcyber.htm" TargetMode="External"/><Relationship Id="rId110" Type="http://schemas.openxmlformats.org/officeDocument/2006/relationships/hyperlink" Target="https://www.sec.gov/Archives/edgar/data/1905660/000121390024070066/ea021018701ex4-32_hubcyber.htm" TargetMode="External"/><Relationship Id="rId111" Type="http://schemas.openxmlformats.org/officeDocument/2006/relationships/hyperlink" Target="https://www.sec.gov/Archives/edgar/data/1905660/000121390024070066/ea021018701ex4-33_hubcyber.htm" TargetMode="External"/><Relationship Id="rId113" Type="http://schemas.openxmlformats.org/officeDocument/2006/relationships/hyperlink" Target="http://www.sec.gov/Archives/edgar/data/1905660/000121390024070066/ea021018701ex4-34_hubcyber.htm" TargetMode="External"/><Relationship Id="rId114" Type="http://schemas.openxmlformats.org/officeDocument/2006/relationships/hyperlink" Target="http://www.sec.gov/Archives/edgar/data/1905660/000121390024070066/ea021018701ex4-35_hubcyber.htm" TargetMode="External"/><Relationship Id="rId115" Type="http://schemas.openxmlformats.org/officeDocument/2006/relationships/hyperlink" Target="http://www.sec.gov/Archives/edgar/data/1905660/000121390024070066/ea021018701ex4-36_hubcyber.htm" TargetMode="External"/><Relationship Id="rId116" Type="http://schemas.openxmlformats.org/officeDocument/2006/relationships/hyperlink" Target="http://www.sec.gov/Archives/edgar/data/1905660/000121390024070066/ea021018701ex4-37_hubcyber.htm" TargetMode="External"/><Relationship Id="rId117" Type="http://schemas.openxmlformats.org/officeDocument/2006/relationships/hyperlink" Target="http://www.sec.gov/Archives/edgar/data/1905660/000121390024070066/ea021018701ex4-38_hubcyber.htm" TargetMode="External"/><Relationship Id="rId118" Type="http://schemas.openxmlformats.org/officeDocument/2006/relationships/hyperlink" Target="http://www.sec.gov/Archives/edgar/data/1905660/000121390024070066/ea021018701ex4-39_hubcyber.htm" TargetMode="External"/><Relationship Id="rId119" Type="http://schemas.openxmlformats.org/officeDocument/2006/relationships/hyperlink" Target="http://www.sec.gov/Archives/edgar/data/1905660/000121390024070066/ea021018701ex4-40_hubcyber.htm" TargetMode="External"/><Relationship Id="rId120" Type="http://schemas.openxmlformats.org/officeDocument/2006/relationships/hyperlink" Target="http://www.sec.gov/Archives/edgar/data/1905660/000121390024070066/ea021018701ex4-41_hubcyber.htm" TargetMode="External"/><Relationship Id="rId121" Type="http://schemas.openxmlformats.org/officeDocument/2006/relationships/hyperlink" Target="http://www.sec.gov/Archives/edgar/data/1905660/000121390024070066/ea021018701ex4-42_hubcyber.htm" TargetMode="External"/><Relationship Id="rId122" Type="http://schemas.openxmlformats.org/officeDocument/2006/relationships/hyperlink" Target="http://www.sec.gov/Archives/edgar/data/1905660/000121390024070066/ea021018701ex4-43_hubcyber.htm" TargetMode="External"/><Relationship Id="rId124" Type="http://schemas.openxmlformats.org/officeDocument/2006/relationships/hyperlink" Target="https://www.sec.gov/Archives/edgar/data/1905660/000110465922093927/tm2223104-1_f4.htm#tANNE" TargetMode="External"/><Relationship Id="rId125" Type="http://schemas.openxmlformats.org/officeDocument/2006/relationships/hyperlink" Target="http://www.sec.gov/Archives/edgar/data/1905660/000121390024070066/ea021018701ex8-1_hubcyb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2024-09-13T15:55:50Z</dcterms:created>
  <dcterms:modified xsi:type="dcterms:W3CDTF">2024-09-13T15:55:50Z</dcterms:modified>
</cp:coreProperties>
</file>