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55848-6k_hubcyber.htm"/>
      <w:bookmarkStart w:id="1" w:name="ksea02558486k_hubcybe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001-41634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Kaplan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Aviv 6473403, Israel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+972-3-924-4074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2025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HUB Cyber Security Ltd. (“we”, “us” or the “Company”) entered into a securities purchase agreement (the “August 2025 SPA”) providing for the issuance of subordinated convertible notes (the “August 2025 Notes”) to certain accredited investors in the aggregate original principal amount of up to $20,000,000 to be issued in multiple closings. Closings under the August 2025 SPA can be held over a period of one year at the election of the lead investor.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held on August 29, 2025, we issued August 2025 Notes in the aggregate original principal amount of $8,640,625 for an aggregate purchase price of $7,718,750 in cash and the exchange of the notes that we issued previously to investors in July 2025. The notes issued in July and August 2025 resulted in aggregate cash proceeds of $4,625,000 and the exchange of notes issued by us in March and April 2025 in the aggregate principal amount of $2,187,500. The August 2025 Notes issued in consideration for cash were issued with a 20% original issue discount, and the August 2025 Notes issued in consideration for our outstanding notes were issued at a 10% discount pursuant to the terms of such notes. The proceeds of the offerings under the August 2025 SPA will be used for general corporate purposes and operating expenses, including the repayment of debt. In particular, we plan to use proceeds of the offering to repay our loan from Julestar LLC and a portion of our loan from Agile Lending LLC (described below), with the balance of the Agile loan expected to be reinvested in the Company in a subsequent closing under the August 2025 SPA.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mature on August 28, 2027 and bear interest at 4% per annum, payable quarterly in ordinary shares under certain equity conditions (including the effectiveness of a resale registration statement) or, at the Company’s option, in cash. Late payments accrue interest at an additional premium of 8% per year. No scheduled amortization payments are required.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are subordinated to existing senior indebtedness not to exceed $25 million in aggregate. They contain various restrictive covenants, including limitations on dividends, incurrence of indebtedness, certain subsequent equity placements, asset sales and certain variable rate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are convertible into ordinary shares at the option of the holders at an initial conversion price of $2.88 per share, subject to anti-dilution adjustments for certain dilutive issuances. Holders may elect an alternate conversion price at the lower of the fixed conversion price or 95% of lowest VWAP during the five days up to and including the date of conversion, subject to a $1.00 floor price. If such conversion price is lower than the floor price, the Company would be required to pay the balance in cash.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contain several mandatory and optional redemption provisions. Holders have optional redemption rights in respect of financings pursuant to equity lines of credit and at-the-market offerings, allowing them to require redemption of up to their pro-rata portion of 30% of net proceeds from eligible transactions at a 110% of the redemption amount. Holders also have the right to exchange their August 2025 Notes for the securities issued in a subsequent placement, at a 10% discount. The Company has the right to redeem all a portion of the August 2025 Notes, from time to time, at 120% of the conversion amount. In change of control transactions (with control defined based on a 50% threshold), holders may require redemption at 115% of the conversion amount. Holders also have participation rights in future financings, with the right to purchase their pro-rata portion of 30% of any subsequent placement exceeding $5,000,000 in the aggregate.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events of default (including registration statement failures, trading suspensions, conversion failures, or material breaches), holders may require redemption at 120% of the conversion amount. Upon any bankruptcy event of default, the Company must immediately pay all outstanding amounts multiplied by a 120% redemption premium without requiring notice or demand from holders. If a Holder converts its Note during an event of default and the prevailing market price at the time of conversion (i.e., the lower of (i) the last closing price and (ii) the average closing price for the last five trading days) is lower than the conversion price then in effect, the conversion price will equal the lower of the conversion price than in effect and 90% of lowest VWAP during the five-days up to and including the date of conversion, subject to a $1.00 floor price.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August 2025 Notes, at the initial closing under the August 2025 SPA, we issued to the investors warrants to purchase an aggregate of 1,500,108 ordinary shares (the “August 2025 Warrants”). The August 2025 Warrants have an initial exercise price of $3.60 per share, subject to decrease on day 30, 60 and 90 following the issuance date to 20% below the prevailing market price at that time and to anti-dilution adjustments for certain dilutive issuances. The August 2025 Warrants have a term of three years. Cashless exercise is permitted after six months if a resale registration statement is not effective. In connection with a “fundamental transaction”, the holder has the right to exchange its warrant for a similar warrant in the successor entity or cash pursuant to a Black-Scholes formula. Upon an event of default, the holder has the right to redeem its warrant for cash based on a Black-Scholes formula.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and the August 2025 Warrants are subject to a beneficial ownership limitation of 4.99% (subject to increase to 9.99% with 61-day notice and shareholder approval) to prevent any holder from exceeding this threshold. We are required reserve 200% of the shares issuable upon conversion of all August 2025 Notes and August 2025 Warrants at the applicable conversion price or exercise price.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August 2025 SPA, we entered into a registration rights agreement, whereby we undertook to file with the SEC a Form F-1 registration statement within 45 days from the initial closing in order to register for resale the shares issuable upon the conversion and/or exercise of the August 2025 Notes and August 2025 Warrants and to use our reasonable best efforts to cause the registration statement to be effective within 90 days from the initial closing (or 120 days in the event of a full SEC review). The registration rights agreement provides for liquidated damages for certain defaults equal to 1% of the original principal amount of the August 2025 Notes for each 30-day period until the default is cured, up to an aggregate of 10% thereof. The registration rights agreement contains other customary terms and conditions, including indemnification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&amp; Renshaw LLC acted as sole placement agent for the offering. The fees of the placement agent consisted of a total of $300,000 in cash and the issuance of a warrant to purchase an aggregate of 20,833 ordinary shares on the same terms and conditions as the warrants issued to investors in the offering, except for the potential adjustment of the exercise price on days 30, 60 and 90.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issued a press release titled, “HUB Cyber Security Signs Investor-Led Private Placement Financing of up to $20 million to Scale-Up Enterprise Intelligence, Crypto Infrastructure, and U.S. Expansion”. A copy of the press release is attached to this Form 6-K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 of Senior Secured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August 2025 SPA, a senior secured lender of the Company agreed to an amendment to extend the maturity date of his senior secured convertible notes of the Company in the aggregate principal amount of $11,000,000 by six months, until February 16, 2026. The amendment also implemented compound interest, whereby interest now accrues on previously accrued interest commencing from August 16, 2025. This extension was granted in consideration for the undertaking by another accredited investor to purchase all of his notes, plus interest accrued thereon, for 100 cents on the dollar, for $14,054,165 (plus interest accrued after August 30, 2025), in two tranches within 60 and 90 days following August 20, 2025, the date of the note purchase and assignment agreement between the parties. If the purchaser fails to meet these payment milestones, the amendment automatically terminates. The amendment maintains all other existing terms and conditions of the notes, including the Company’s obligation to repay the principal amount plus all accrued interest.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compensate the purchaser for its undertakings under the note purchase and assignment agreement, we issued to the purchaser a convertible note in the principal amount of $1,500,000. The note bears no interest and matures on August 20, 2026 by way of conversion into ordinary shares. The note is also convertible, in whole or in part, at the option of the holder at any time. The conversion price is the lower of (i) 3.00 and (ii) 95% of the lowest VWAP of the Ordinary Shares during the five consecutive trading day period ending and including the Trading Day immediately preceding the delivery or deemed delivery of the applicable Conversion Notice, subject to the Nasdaq floor price. The holder is also entitled to redeem all or portion of the note in cash from the holder’s pro rata portion of 33% of the proceeds received by the Company pursuant to an equity line of credit or at-the-market offering, at a price of 110% of the amount being redeemed. The holder is subject to a beneficial ownership limitation of 4.99%.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the Company has recently closed the following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Claymore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and August 2025, we entered into subscription agreements with an accredited investor whose investment was arranged by Claymore Capital PTY Ltd. (“Claymore”), for the purchase of an aggregate of 500,000 ordinary shares at $3.00 per share, for total consideration of $1.5 million. Specifically, 250,000 shares were purchased in July 2025 for $750,000, and 250,000 shares were purchased in August 2025 for $750,000. As fees for such investments, we issued pre-funded warrants to Claymore to purchase an aggregate of 560,000 ordinary shares (280,000 ordinary shares in July 2025 and 280,000 ordinary shares in August 2025). Both warrants are expire five years from their respective issuance dates (or upon an exit transaction if earlier) and are subject to a 4.99%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issued a convertible note to an accredited investor introduced by Claymore, with a principal amount of $1,150,000 in consideration for an investment of $1,000,000, on terms substantially similar to the note issued to Claymore in June 2025 described above. Claymore received pre-funded warrants to purchase 200,000 ordinary shares as fees for the foregoing investment. Both warrants expire five years from their respective issuance dates (or upon an exit transaction if earlier) and are subject to a 4.99% beneficial ownership limitation.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issued to Claymore a convertible note with a principal amount of $2,760,000 and a pre-funded warrant to purchase an aggregate of 300,000 ordinary shares in consideration for investments in multiple installments in the aggregate amount of $2,400,000. The convertible note is unsecured, has a term of five years, does not accrue interest and is not prepayable without consent of the holder. It is convertible into ordinary shares of the Company at any time at the option of the holder at a price of $3.00, subject to adjustment in certain circumstances, including dilutive issuances. In case of a default, the holder of the note will be entitled to receive collateral in the amount of the outstanding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J.J. Astor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we amended the loan agreement, dated as of December 30, 2024, with J.J. Astor &amp; Co. (“Astor”) to add an additional loan in the amount of $1,560,000, which was evidenced by a $1,853,750 convertible promissory note payable in 40 weekly installments of $46,343 each (the “May 2025 Convertible Note”). After fees and expenses, the net proceeds of this loan were approximately $1,477,600. We agreed that Astor would hold back $926,875 from the proceeds to ensure the payment of weekly installments. The May 2025 Convertible Note matures on March 30, 2026 and has terms substantially similar to the May 2025 Convertible Note. We also issued to Astor a warrant to purchase 631,570 ordinary shares at $2.47 per share on terms substantially similar to the warrant issued to them in December 2024. The terms of the December 2024 transaction with Astor are described in the Company’s annual report on Form 20-F for the year ended December 31, 2024. In connection with the issuance of the May 2025 Convertible Note, Astor agreed to waive the default under the December 2024 Convertible Note caused by our failure to pay some of the weekly installments. As a result of the default, the principal amount under the December 2024 Convertible Note was increased by 10%, the interest rate during the period in which the default was continuing was increased to 16% per year, compounded monthly, and the December 2024 Convertible Note became convertible at the option of the holder thereof. As of the date hereof, Astor has converted the principal amount of $2,165,497 of the December 2024 Convertible Note into our ordinary shares, pursuant to which conversions we have issued 1,479,153 ordinary shares. On July 16, 2025, Astor assigned the warrant to Wolverine Flagship Fund Trading Limited, which now holds the rights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2025, we entered into a Business Loan and Security Agreement (the “Agile Loan”) with Agile Capital Funding, LLC (as Collateral Agent) and Agile Lending, LLC (as Lead Lender). The Agile Loan provided for a $2,000,000 term loan, including a $200,000 administrative agent fee, resulting in net proceeds of $1,800,000. The total repayment amount, including interest and fees, is $2,980,000. The loan matures 30 weeks from the effective date with weekly repayment scheduled throughout the term, which has yet been fully satisfied. Interest accrues from the effective date until paid in full, with a default rate of 5% above the applicable rate upon an event of default. We agreed to secure Agile Loan by a continuing security interest in substantially all of our property, rights, and assets, including accounts, equipment, inventory, intellectual property, and shares in HUB Cyber Security, Inc. and BlackSwan Technologies, Inc., commencing 42 days after the loan’s effective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Agile Loan contains various customary covenants and includes negative covenants restrict HUB from disposing of business or property, changing key management (Noah Hershcoviz and Lior Davidsohn). Events of default include payment defaults, covenant breaches, material adverse changes, insolvency, and judgments exceeding $50,000.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statements which constitute forward looking statements within the meaning of the Private Securities Litigation Reform Act of 1995 and other securities laws. These forward looking statements are based upon the Company’s present intent, beliefs or expectations, but forward looking statements are not guaranteed to occur and may not occur for various reasons, including some reasons which are beyond the Company’s control. For this reason, among others, you should not place undue reliance upon the Company’s forward looking statements. Except as required by law, the Company undertakes no obligation to revise or update any forward looking statements in order to reflect any event or circumstance that may arise after the date of this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on Form 6-K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2030"/>
        <w:gridCol w:w="320"/>
        <w:gridCol w:w="1955"/>
      </w:tblGrid>
      <w:tr>
        <w:trPr/>
        <w:tc>
          <w:tcPr>
            <w:tcW w:w="2030"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Hub Cyber Security Ltd.</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Noah Hershcoviz</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Hershcoviz</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01"/>
        <w:gridCol w:w="60"/>
        <w:gridCol w:w="9144"/>
      </w:tblGrid>
      <w:tr>
        <w:trPr/>
        <w:tc>
          <w:tcPr>
            <w:tcW w:w="1001"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Number</w:t>
            </w:r>
          </w:p>
        </w:tc>
        <w:tc>
          <w:tcPr>
            <w:tcW w:w="60" w:type="dxa"/>
            <w:tcBorders/>
            <w:tcMar>
              <w:bottom w:w="0" w:type="dxa"/>
            </w:tcMar>
            <w:vAlign w:val="center"/>
          </w:tcPr>
          <w:p>
            <w:pPr>
              <w:pStyle w:val="TableContents"/>
              <w:bidi w:val="0"/>
              <w:spacing w:before="0" w:after="283"/>
              <w:jc w:val="both"/>
              <w:rPr/>
            </w:pPr>
            <w:r>
              <w:rPr/>
              <w:t> </w:t>
            </w:r>
          </w:p>
        </w:tc>
        <w:tc>
          <w:tcPr>
            <w:tcW w:w="9144"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100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44" w:type="dxa"/>
            <w:tcBorders/>
            <w:shd w:fill="CCEEFF" w:val="clear"/>
            <w:tcMar>
              <w:bottom w:w="0" w:type="dxa"/>
            </w:tcMar>
            <w:vAlign w:val="center"/>
          </w:tcPr>
          <w:p>
            <w:pPr>
              <w:pStyle w:val="TableContents"/>
              <w:bidi w:val="0"/>
              <w:spacing w:before="0" w:after="283"/>
              <w:jc w:val="both"/>
              <w:rPr/>
            </w:pPr>
            <w:hyperlink w:anchor="ea025584801ex99-1_hubcyber.htm">
              <w:r>
                <w:rPr>
                  <w:rStyle w:val="InternetLink"/>
                  <w:rFonts w:ascii="Times New Roman;Times;Serif" w:hAnsi="Times New Roman;Times;Serif"/>
                  <w:sz w:val="20"/>
                </w:rPr>
                <w:t>Press release entitled “HUB Cyber Security Signs Investor-Led Private Placement Financing of up to $20 million to Scale-Up Enterprise Intelligence, Crypto Infrastructure, and U.S. Expansion”, dated August 27,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right"/>
        <w:rPr>
          <w:caps w:val="false"/>
          <w:smallCaps w:val="false"/>
        </w:rPr>
      </w:pPr>
      <w:bookmarkStart w:id="2" w:name="ea025584801ex99-1_hubcyber.htm"/>
      <w:bookmarkStart w:id="3" w:name="ksea025584801ex991_hubcyber"/>
      <w:bookmarkEnd w:id="2"/>
      <w:bookmarkEnd w:id="3"/>
      <w:r>
        <w:rPr>
          <w:caps w:val="false"/>
          <w:smallCaps w:val="false"/>
        </w:rPr>
        <w:t> </w:t>
      </w:r>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Signs Investor-Led Private Placement Financing of up to $20 million to Scale-Up Enterprise Intelligence, Crypto Infrastructure, and U.S. Expansion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underscores institutional confidence in HUB’s AI-native Secured Data Fabric (SDF) platform, positioning the Company to execute large transformative deals and lead the next era of secure, programmable, and compliant data infrastructure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also announces a 6-month extension of its Senior Secured Debt Facility, providing added balance-sheet flexibility and establishing the conditions for full repayment in the near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Aviv, Israel</w:t>
      </w:r>
      <w:r>
        <w:rPr>
          <w:rFonts w:ascii="Times New Roman;Times;Serif" w:hAnsi="Times New Roman;Times;Serif"/>
          <w:b w:val="false"/>
          <w:i w:val="false"/>
          <w:caps w:val="false"/>
          <w:smallCaps w:val="false"/>
          <w:sz w:val="20"/>
        </w:rPr>
        <w:t xml:space="preserve"> — August 27, 2025 — </w:t>
      </w:r>
      <w:r>
        <w:rPr>
          <w:rFonts w:ascii="Times New Roman;Times;Serif" w:hAnsi="Times New Roman;Times;Serif"/>
          <w:b/>
          <w:i w:val="false"/>
          <w:caps w:val="false"/>
          <w:smallCaps w:val="false"/>
          <w:sz w:val="20"/>
        </w:rPr>
        <w:t>HUB Cyber Security Ltd.</w:t>
      </w:r>
      <w:r>
        <w:rPr>
          <w:rFonts w:ascii="Times New Roman;Times;Serif" w:hAnsi="Times New Roman;Times;Serif"/>
          <w:b w:val="false"/>
          <w:i w:val="false"/>
          <w:caps w:val="false"/>
          <w:smallCaps w:val="false"/>
          <w:sz w:val="20"/>
        </w:rPr>
        <w:t xml:space="preserve"> (Nasdaq: HUBC) (“HUB” or the “Company”), a global leader in zero-trust confidential computing and advanced secured data fabric technology, today announced that it has entered into definitive agreements for up to $20 million in a subordinated convertible note private placement financing, with more than 50% led by existing investors. The financing underscores institutional confidence in HUB’s strategic vision, market-leading platform, and ability to execute large, transformative enterprise deals. The Company expects to use the proceeds from the financing to reduce debt, accelerate U.S. operations, and expand HUB’s AI-powered enterprise intelligence and crypto infrastructure capabilities. The financing is expected to be provided under multiple closings, which are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is structured as subordinated convertible notes, with interest of 4.0% per annum payable quarterly (in cash or shares, subject to certain equity conditions) and with a maturity date of August 2027. The total gross proceeds of the financing are expected to be approximately $20 million, before deducting estimated offering expenses and placement agent fees payable by HUB.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financing marks a defining inflection point for HUB,” said Noah Hershcoviz, Chief Executive Officer of HUB. “I want to thank all of our shareholders for their support; it underscores their confidence in our strategy and vision. Institutions are now recognizing the critical importance of the core infrastructure we are delivering. As regulatory clarity advances and technology challenges intensify, we believe that HUB is uniquely positioned as the bridge connecting AI, compliance, and digital asset infrastructure. This capital is expected to enable us to scale-up operations, pursue transformative enterprise deals, and expand strategically across North America, driving shareholder value through sustained growth and profitability, backed by a world-class management team and a robust, high-value pipeline of opportunities that we believe positions HUB for sector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&amp; Renshaw LLC is acting as sole placement agent for the financing. For further details, please see HUB’s Form 6-K filing, which HUB will file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center of HUB’s offering is its AI-native Secured Data Fabric (SDF) platform, the institutional control layer for regulated data. Existing enterprise intelligence systems mostly rely on data lake solutions which cost billions and take years to implement and are often massively vulnerable. HUB’s Secured Data Fabric on the other hand, takes merely months to implement, costs only millions to deploy, and is highly secure. HUB’s SDF is in use across Tier-1 banks and government contracts, delivering measurable results, including a 50% reduction in compliance costs and dramatically faster digital onboarding and monitoring. Funds from this capital raise will be used to scale HUB’s SDF and AI intelligence capabilities in new regions and across new verticals.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is also seeing demand for its AI-powered SDF product across a range of new industries, specifically within Crypto infrastructure. The platform provides the ideal foundation for Crypto infrastructure evolution, securely managing vast volumes of sensitive data across diverse systems. It offers solutions, including MPC custody, AI-supervised compliance, zero-knowledge proofs, programmable workflows, transaction monitoring, and post-quantum cryptography defence. Institutions are now acknowledging they need infrastructure that is digital-asset ready, compliant, programmable, and interoperable.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operates in six countries and has invested approximately $200 million into its platform to date. While the Company has historically focused on Israel and Europe, this financing enables accelerated North American expansion amid strong interest from U.S. and Canadian institutions. HUB has recently made key hires in North America and looks forward to growing its North American business over the next 18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being issued and sold in the private placement have not been registered under the Securities Act of 1933, as amended (the “Securities Act”), or any state’s securities laws, and will be issued and sold in a private placement in reliance on Section 4(a)(2) of the Securities Act. The securities may not be offered or sold in the United States, except pursuant to an effective registration statement or an applicable exemption from the registration requirements of the Securities Act. HUB granted registration rights to the purchasers in the private placement and has agreed to file a registration statement with the Securities and Exchange Commission (the “SEC”) registering the resale of the ordinary shares issuable upon conversion of the notes and exercise of the warrants issued in the private placement. The offer and sale of the ordinary shares underlying the warrants has not been registered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any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HUB Cyber Security Ltd. (Nasdaq: HUBC)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(“HUB” or the “Company”) was established in 2017 by veterans of the elite intelligence units of the Israeli Defense Forces. The Company is a global leader in secured data infrastructure and confidential computing. Its Secured Data Fabric platform powers secure AI operations, compliance automation, and digital asset protection for financial institutions, governments, and regulated enterprises. HUB also specializes in unique cyber security solutions protecting sensitive commercial and government information. The Company debuted an advanced encrypted computing solution to prevent hostile intrusions at the hardware level while introducing a novel set of data theft prevention solutions. HUB provides innovative cybersecurity computing appliances and a wide range of cybersecurity services across the globe. Hub’s Secured Data Fabric is a revolutionary product developed in partnership with its subsidiary, BlackSwan Technologies, that is emerging as a leader in highly secure data management and unification.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the current expectations of the management of HUB,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HUB and the following: (i) statements surrounding the convertible note financing, the closings of the financing including satisfaction and timing of closing conditions and expectations regarding the use of proceeds from the financing (ii) significant uncertainty regarding the adequacy of HUB’s liquidity and capital resources and its ability to repay its obligations as they become due; (iii) the war between Israel and Hamas commenced in October 2023, which may harm Israel’s economy and HUB’s business; (iv)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(v) the outcome of any legal or regulatory proceedings against HUB in connection with our previously announced internal investigation or otherwise; (vi) the ability to meet stock exchange continued listing standards and remain listed on the Nasdaq; (vii) competition, the ability of HUB to grow and manage growth profitably, maintain relationships with customers and suppliers and retain its management and key employees; (viii) limited liquidity and trading of HUB’s securities; (ix) geopolitical risk, including military action and related sanctions, and changes in applicable laws or regulations; (x) the possibility that HUB may be adversely affected by other economic, business, and/or competitive factors; and (xi) other risks and uncertainties set forth in the sections entitled “Risk Factors” and “Cautionary Statement Regarding Forward-Looking Statements” in HUB’s Annual Report on Form 20-F filed on May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by the management of HUB prove incorrect, actual results may vary in material respects from those expressed or implied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and oral forward-looking statements concerning the business combination or other matters addressed in this press release and attributable to HUB or any person acting on its behalf are expressly qualified in their entirety by the cautionary statements contained or referred to in the press release. Except to the extent required by applicable law or regulation, HUB undertakes no obligation to update these forward-looking statements to reflect events or circumstances after the date of this press release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Lytham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Shamsian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646-829-9701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shamsian@lythampartners.com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4459</Words>
  <Characters>24445</Characters>
  <CharactersWithSpaces>28946</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