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SECTION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February 2025</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001-41634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HUB Cyber Security Ltd.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2 Kaplan Street</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Tel Aviv 6473403, Israel</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+972-3-924-4074</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320"/>
        <w:spacing w:after="0" w:line="207" w:lineRule="exact"/>
        <w:tabs>
          <w:tab w:leader="none" w:pos="58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CONTENTS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Settlement of Dominion Capital LLC Suit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previously reported, in December 2023, Dominion Capital LLC (“Dominion”), a sponsor of Mount Rainier Acquisition Corp., the special purpose acquisition company with which Hub Cyber Security Ltd. (the “Company”) entered into a business combination in 2023, sued the Company in a New York State Court alleging that the Company failed to repay $2.5 million that Dominion allegedly disbursed on behalf of the Company pursuant to a promissory note. Dominion asserted that it was entitled to damages in the amount of the loan principal plus interest and attorneys’ fees and was awarded summary judgment. Dominion also submitted to the Tel Aviv District Court a petition to commence insolvency proceedings.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20, 2024, the Company and Dominion agreed to settle the claims for $4.5 million, with $400,000 being payable by February 21, 2025, $200,000 payable by March 3, 2025 and the remaining balance payable in ten monthly payments of $390,000 from March to December 2025. Dominion agreed that, upon receipt of the first installment payment, it will file a motion to stay the Israeli insolvency proceedings, and upon receipt of the second installment payment, it will file a motion to cancel the Israeli insolvency proceedings.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part of the settlement arrangement, Claymore Capital Pty Ltd. (“Claymore”) agreed to make on the Company’s behalf all the payments that the Company is required to make under the settlement agreement with Dominion. In consideration, the Company issued Claymore a convertible note in the principal amount of $7.5 million. The note does not bear interest and is repayable by way of conversion into the Company’s ordinary shares on February 20, 2030, subject to earlier conversion by Claymore. The note is convertible into ordinary shares at a rate equal to 25% below the lower of (i) the closing price per share of the ordinary shares immediately preceding the conversion and (ii) the volume-weighted average price of the ordinary shares over the five trading days prior to the conversion, subject to a collar between $1.50 and the Nasdaq floor price.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event Claymore defaults on its installment payment obligations to Dominion, the principal amount of the note will be reduced by 1.667 times the amount of such installment. The Company also undertook to grant Claymore liens on the Company’s shares in BlackSwan Technologies, Inc. and on incoming revenues of the Company in the amount of $6 million in the event that an insolvency event occurs prior to August 20, 2025 or if Nasdaq does not grant the Company the opportunity to come into compliance with its listing conditions by no earlier March 31,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Settlement of Oppenheimer &amp; Co. Suit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previously reported, on June 12, 2023, Oppenheimer &amp; Co., Inc. (“Oppenheimer”) filed a claim against the Company in the United States District Court for the Southern District of New York alleging, among other things, breach of contract, breach of covenant of good faith and fair dealing and quantum meruit, in connection with investment banking advice and services provided by Oppenheimer in connection with the Company’s 2023 business combination with Mount Rainier Acquisition Corp. The complaint alleged that the Company owes Oppenheimer in excess of $12 million (as well as its costs and legal fees associated with the claim) with regards to the business combination, pursuant to a financial advisory agreement entered into by and between Oppenheimer and the Company in December 2021.</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Effective February 19, 2024, the Company and Oppenheimer agreed to settle the claim for $3 million, with $1.1 million being paid on the effective date and the remaining balance payable in ten monthly payments of $200,000 from March to December 2025 (with the first payment being $100,000).</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part of the settlement arrangement, Claymore agreed to make on the Company’s behalf, all the payments that the Company is required to make under the settlement agreement with Oppenheimer. In consideration, the Company issued Claymore a convertible note in the principal amount of $6 million. The note does not bear interest and is repayable by way of conversion into the Company’s ordinary shares on February 18, 2030, subject to earlier conversion by Claymore. The note is convertible into ordinary shares at a rate equal to 25% below the lower of (i) the closing price per share of the ordinary shares immediately preceding the conversion and (ii) the volume-weighted average price of the ordinary shares over the five trading days prior to the conversion, subject to a collar between $1.50 and the Nasdaq floor price.</w:t>
      </w:r>
    </w:p>
    <w:p>
      <w:pPr>
        <w:spacing w:after="0" w:line="18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 the event Claymore defaults on its payment obligations, the principal amount of the note will be reduced by twice the amount of such payment. The Company also undertook to grant Claymore liens to secure the Company’s repayment obligations under the note, following the repayment of note issued to</w:t>
      </w:r>
    </w:p>
    <w:p>
      <w:pPr>
        <w:ind w:left="5580" w:right="2700" w:hanging="5572"/>
        <w:spacing w:after="0" w:line="761" w:lineRule="auto"/>
        <w:tabs>
          <w:tab w:leader="none" w:pos="28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Astor &amp; Co. on December 30, 2024 and the Company’s receipt of the consent of the applicable senior lien holders.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i w:val="1"/>
          <w:iCs w:val="1"/>
          <w:color w:val="auto"/>
        </w:rPr>
        <w:t>Debt Restructuring</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17, 2025, the Company and Tamas Gottdiener (the “Investor”) agreed to amend the terms of the various series of convertible notes and warrants previously purchased by the Investor. Pursuant to the amended terms, the maturity date of each of the convertible notes, having an aggregate principal amount of $11 million (plus accrued interest), was extended to August 16, 2025. Additionally, per the amendment terms, in the event the notes are not paid or converted in full by April 1, 2025, from and after April 1, 2025, the current interest rate of the notes will increase from 15% per annum to 20% per annum.</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the amendment, the exercise price of each of the warrants previously issued to the Investor in connection with four tranches of investments during the course of 2024, which are exercisable for an aggregate of 12,944,444 ordinary shares, was changed to a unified exercise price of NIS 1.777 (being the NIS equivalent of $0.50 per share based on the last published exchange rate published by the Bank of Israel on the date of the amendment) and the term of the warrants was extended to a unified end date of February 17, 2030. Prior to the amendment, the various warrants had exercise prices ranging from $0.50 to $0.70 per share and expiration dates during the course of 2027. The Company also issued to the Investor an additional warrant exercisable into 2,055,556 ordinary shares at an exercise price of $0.50 per share and a pre-funded warrant exercisable into 10,000,000 ordinary shares, in each case until February 17, 2030. Like the previously issued warrants, the exercise of the new warrants will be limited to the extent that, upon the exercise of the new warrants, the Investor would not beneficially own more than 4.99% of our outstanding ordinary shares.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Additionally, pursuant to the amended terms, the Investor will sell all or a signification portion of the notes to a third party who will convert the notes and attempt to sell the resulting conversion shares. The Investor agreed by no later than April 2, 2025, to inform the Company in writing of the amount of proceeds the Investor irrevocably received from the sale of such conversion shares by the third party, in which case the Company shall be deemed to have repaid the principal and accrued interest under the converted notes in the amount equal to the sale proceeds. In the event that the sale proceeds are lower than the aggregate principal and accrued interest under the converted notes thereon, the Company agreed to issue to the Investor a convertible note in the principal amount equal to such shortfall amount (and if the sale proceeds (and any repayments from the Company) are less than $6.5 million, also the interest that would have accrued on the converted notes in accordance with their terms had they not been converted). The new note would have an interest rate of 20% per annum, commencing retroactively from the date of conversion of the converted notes, and a maturity date of August 16, 2025, and otherwise the same terms and conditions as the converted notes. In the event that, at April 2, 2025, the Investor holds unsold conversion shares, then warrants held by the Investor will be exercised for an equivalent number of ordinary shares pursuant to the terms thereof and such conversion shares will be deemed to be issued pursuant to such exercise in lieu of the issuance of new ordinary shares.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Report on Form 6-K contains statements which constitute forward looking statements within the meaning of the Private Securities Litigation Reform Act of 1995 and other securities laws. These forward looking statements are based upon the Company’s present intent, beliefs or expectations, but forward looking statements are not guaranteed to occur and may not occur for various reasons, including some reasons which are beyond the Company’s control. For this reason, among others, you should not place undue reliance upon the Company’s forward looking statements. Except as required by law, the Company undertakes no obligation to revise or update any forward looking statements in order to reflect any event or circumstance that may arise after the date of this this Report on Form 6-K.</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this Report on Form 6-K, including in Exhibits 99.1 and 99.2 attached hereto, is being furnished and shall not be deemed “filed” for the purposes of Section 18 of the Securities Exchange Act of 1934, as amended (the “Exchange Act”), or otherwise subject to the liabilities of that section, nor shall it be deemed incorporated by reference in any filing made by the Company under the Securities Act of 1933, as amended, or the Exchange Act, except as otherwise set forth herein or as shall be expressly set forth by specific reference in such a filing.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Hub Cyber Security Ltd.</w:t>
      </w:r>
    </w:p>
    <w:p>
      <w:pPr>
        <w:spacing w:after="0" w:line="229"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February 20, 2025</w:t>
      </w:r>
      <w:r>
        <w:rPr>
          <w:sz w:val="20"/>
          <w:szCs w:val="20"/>
          <w:color w:val="auto"/>
        </w:rPr>
        <w:tab/>
      </w:r>
      <w:r>
        <w:rPr>
          <w:rFonts w:ascii="Times New Roman" w:cs="Times New Roman" w:eastAsia="Times New Roman" w:hAnsi="Times New Roman"/>
          <w:sz w:val="18"/>
          <w:szCs w:val="18"/>
          <w:color w:val="auto"/>
        </w:rPr>
        <w:t>By:</w:t>
        <w:tab/>
        <w:t>/s/ Noah Hershcoviz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Noah Hershcoviz</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720" w:type="dxa"/>
            <w:vAlign w:val="bottom"/>
            <w:gridSpan w:val="2"/>
          </w:tcPr>
          <w:p>
            <w:pPr>
              <w:jc w:val="center"/>
              <w:ind w:right="25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Exhibit</w:t>
            </w: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41"/>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Number</w:t>
            </w:r>
          </w:p>
        </w:tc>
        <w:tc>
          <w:tcPr>
            <w:tcW w:w="120" w:type="dxa"/>
            <w:vAlign w:val="bottom"/>
          </w:tcPr>
          <w:p>
            <w:pPr>
              <w:spacing w:after="0"/>
              <w:rPr>
                <w:sz w:val="20"/>
                <w:szCs w:val="20"/>
                <w:color w:val="auto"/>
              </w:rPr>
            </w:pPr>
          </w:p>
        </w:tc>
        <w:tc>
          <w:tcPr>
            <w:tcW w:w="101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 xml:space="preserve">Press release entitled “HUB Cyber Security Resolves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16.6 Million in Legacy Liabilities through Strategic Settlements with Oppenheimer</w:t>
            </w:r>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00" w:type="dxa"/>
            <w:vAlign w:val="bottom"/>
            <w:tcBorders>
              <w:bottom w:val="single" w:sz="8" w:color="0000EE"/>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9"/>
              </w:rPr>
              <w:t xml:space="preserve">&amp; Co. and Dominion Capital; Secures </w:t>
            </w:r>
            <w:r>
              <w:rPr>
                <w:rFonts w:ascii="Times New Roman" w:cs="Times New Roman" w:eastAsia="Times New Roman" w:hAnsi="Times New Roman"/>
                <w:sz w:val="18"/>
                <w:szCs w:val="18"/>
                <w:u w:val="single" w:color="auto"/>
                <w:color w:val="0000EE"/>
                <w:w w:val="99"/>
              </w:rPr>
              <w:t>$</w:t>
            </w:r>
            <w:r>
              <w:rPr>
                <w:rFonts w:ascii="Times New Roman" w:cs="Times New Roman" w:eastAsia="Times New Roman" w:hAnsi="Times New Roman"/>
                <w:sz w:val="18"/>
                <w:szCs w:val="18"/>
                <w:color w:val="0000EE"/>
                <w:w w:val="99"/>
              </w:rPr>
              <w:t>13.5 Million Financing on Favorable Terms”, dated February 20, 2025.</w:t>
            </w:r>
          </w:p>
        </w:tc>
        <w:tc>
          <w:tcPr>
            <w:tcW w:w="2100" w:type="dxa"/>
            <w:vAlign w:val="bottom"/>
            <w:tcBorders>
              <w:bottom w:val="single" w:sz="8" w:color="CCEEFF"/>
            </w:tcBorders>
            <w:shd w:val="clear" w:color="auto" w:fill="CCEEFF"/>
          </w:tcPr>
          <w:p>
            <w:pPr>
              <w:spacing w:after="0"/>
              <w:rPr>
                <w:sz w:val="18"/>
                <w:szCs w:val="18"/>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99.2</w:t>
            </w:r>
          </w:p>
        </w:tc>
        <w:tc>
          <w:tcPr>
            <w:tcW w:w="120" w:type="dxa"/>
            <w:vAlign w:val="bottom"/>
          </w:tcPr>
          <w:p>
            <w:pPr>
              <w:spacing w:after="0"/>
              <w:rPr>
                <w:sz w:val="15"/>
                <w:szCs w:val="15"/>
                <w:color w:val="auto"/>
              </w:rPr>
            </w:pPr>
          </w:p>
        </w:tc>
        <w:tc>
          <w:tcPr>
            <w:tcW w:w="10100" w:type="dxa"/>
            <w:vAlign w:val="bottom"/>
            <w:tcBorders>
              <w:bottom w:val="single" w:sz="8" w:color="0000EE"/>
            </w:tcBorders>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 xml:space="preserve">Press release entitled “HUB Cyber Security Secures Six-Month Extension on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11M Notes, and Strengthens Shareholder Equity”, dated</w:t>
            </w: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February 19, 2025.</w:t>
            </w:r>
          </w:p>
        </w:tc>
        <w:tc>
          <w:tcPr>
            <w:tcW w:w="8720" w:type="dxa"/>
            <w:vAlign w:val="bottom"/>
            <w:gridSpan w:val="2"/>
          </w:tcPr>
          <w:p>
            <w:pPr>
              <w:spacing w:after="0"/>
              <w:rPr>
                <w:sz w:val="17"/>
                <w:szCs w:val="17"/>
                <w:color w:val="auto"/>
              </w:rPr>
            </w:pPr>
          </w:p>
        </w:tc>
      </w:tr>
      <w:tr>
        <w:trPr>
          <w:trHeight w:val="676"/>
        </w:trPr>
        <w:tc>
          <w:tcPr>
            <w:tcW w:w="1020" w:type="dxa"/>
            <w:vAlign w:val="bottom"/>
            <w:tcBorders>
              <w:bottom w:val="single" w:sz="8" w:color="auto"/>
            </w:tcBorders>
          </w:tcPr>
          <w:p>
            <w:pPr>
              <w:spacing w:after="0"/>
              <w:rPr>
                <w:sz w:val="24"/>
                <w:szCs w:val="24"/>
                <w:color w:val="auto"/>
              </w:rPr>
            </w:pPr>
          </w:p>
        </w:tc>
        <w:tc>
          <w:tcPr>
            <w:tcW w:w="8120" w:type="dxa"/>
            <w:vAlign w:val="bottom"/>
            <w:tcBorders>
              <w:bottom w:val="single" w:sz="8" w:color="auto"/>
            </w:tcBorders>
            <w:gridSpan w:val="3"/>
          </w:tcPr>
          <w:p>
            <w:pPr>
              <w:jc w:val="right"/>
              <w:ind w:right="3390"/>
              <w:spacing w:after="0"/>
              <w:rPr>
                <w:sz w:val="20"/>
                <w:szCs w:val="20"/>
                <w:color w:val="auto"/>
              </w:rPr>
            </w:pPr>
            <w:r>
              <w:rPr>
                <w:rFonts w:ascii="Times New Roman" w:cs="Times New Roman" w:eastAsia="Times New Roman" w:hAnsi="Times New Roman"/>
                <w:sz w:val="18"/>
                <w:szCs w:val="18"/>
                <w:color w:val="auto"/>
              </w:rPr>
              <w:t>4</w:t>
            </w:r>
          </w:p>
        </w:tc>
        <w:tc>
          <w:tcPr>
            <w:tcW w:w="2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5" w:name="page6"/>
    <w:bookmarkEnd w:id="5"/>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7" w:lineRule="exact"/>
        <w:rPr>
          <w:sz w:val="20"/>
          <w:szCs w:val="20"/>
          <w:color w:val="auto"/>
        </w:rPr>
      </w:pPr>
    </w:p>
    <w:p>
      <w:pPr>
        <w:jc w:val="center"/>
        <w:ind w:left="340" w:right="60"/>
        <w:spacing w:after="0" w:line="286" w:lineRule="auto"/>
        <w:rPr>
          <w:sz w:val="20"/>
          <w:szCs w:val="20"/>
          <w:color w:val="auto"/>
        </w:rPr>
      </w:pPr>
      <w:r>
        <w:rPr>
          <w:rFonts w:ascii="Times New Roman" w:cs="Times New Roman" w:eastAsia="Times New Roman" w:hAnsi="Times New Roman"/>
          <w:sz w:val="18"/>
          <w:szCs w:val="18"/>
          <w:b w:val="1"/>
          <w:bCs w:val="1"/>
          <w:color w:val="auto"/>
        </w:rPr>
        <w:t>HUB Cyber Security Resolves $16.6 Million in Legacy Liabilities through Strategic Settlements with Oppenheimer &amp; Co. and Dominion Capital; Secures $13.5 Million Financing on Favorable Terms</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TEL AVIV, Israel – February 20, 2025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HUB Cyber Security Ltd. (NASDAQ: HUBC) </w:t>
      </w:r>
      <w:r>
        <w:rPr>
          <w:rFonts w:ascii="Times New Roman" w:cs="Times New Roman" w:eastAsia="Times New Roman" w:hAnsi="Times New Roman"/>
          <w:sz w:val="18"/>
          <w:szCs w:val="18"/>
          <w:color w:val="auto"/>
        </w:rPr>
        <w:t>(“HUB” or the “Company”), a global leader in confidential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computing and advanced data fabric technology, has successfully executed important settlements with both Oppenheimer &amp; Co. Inc. and Dominion Capital, eliminating $9.1 million in legacy liabilities. The Company has reduced a combined $16.6 million in claims to a final settlement amount of just $7.5 million, structured under highly favorable installment terms, significantly strengthening HUB’s balance sheet and financial flexibility.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support these settlements, HUB has secured $13.5 million from Claymore Capital Pty Ltd. In exchange for long-term convertible notes, designed to fully fund the settlement obligations without requiring any cash outlay from HUB, as all payments under the settlements will be covered by Claymore. This highly favorable financing structure preserves liquidity, providing the Company with enhanced financial flexibility to focus on expansion and market growth. The five-year, zero-interest notes effectively refinance short-term liabilities from HUB’s balance sheet, reinforcing the Company’s commitment to long-term strategic financial management.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Noah Hershcoviz, CEO of HUB Cyber Security, commented: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concluding a pivotal transitional period, successfully resolving significant legacy liabilities and eliminating obstacles that once limited our growth potential. Settling these obligations was a top priority for our management team upon joining HUB, and we are proud to have achieved this milestone. With these settlements behind us, HUB is now fully focused on executing our growth strategy. Following our transformative BlackSwan acquisition and a complete executive-level restructuring, we are entering our next phase with a clear strategic direction and a strong pipeline of opportunities. These transactions strengthen our financial foundation, position us to capitalize on growing market demand, and enhance our ability to create long-term value for our shareholders.”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HUB Cyber Security Ltd.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HUB Cyber Security Ltd (“HUB”) was established in 2017 by veterans of the elite intelligence units of the Israeli Defense Forces. The Company specializes in advanced cybersecurity solutions that protect sensitive commercial and government information. HUB’s offerings include encrypted computing technologies that prevent hardware-level intrusions and innovative data theft prevention solutions. Operating in over 30 countries, HUB serves a diverse client base with its cutting-edge cybersecurity appliances and services.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press release contains forward-looking statements for purposes of the safe harbor provisions under the United States Private Securities Litigation Reform Act of 1995, including statements regarding the anticipated benefits to HUB of the acquisition of BlackSwan, anticipated market opportunity, and projected revenues from the combined operations. Forward-looking statements are typically identified by words such as “plan,” “believe,” “expect,” “anticipate,” “intend,” “outlook,” “estimate,” “future,” “forecast,” “project,” “continue,” “could,” “may,” “might,” “possible,” “potential,” “predict,” “seem,” “should,” “will,” “would” and other similar words and expressions, but the absence of these words does not mean that a statement is not forward-looking.</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forward-looking statements are based on the current expectations of the management of HUB Security, as applicable, and are inherently subject to uncertainties and changes in circumstances and their potential effects and speak only as of the date of such statement. There can be no assurance that future developments will be those that have been anticipated. These forward-looking statements involve a number of risks, uncertainties, or other assumptions that may cause actual results or performance to be materially different from those expressed or implied by these forward-looking statements. These risks and uncertainties include, but are not limited to, those discussed and identified in public filings made with the SEC by the HUB Security and the following: (i) significant uncertainty regarding the adequacy of HUB Security’s liquidity and capital resources and its ability to repay its obligations as they become due;</w:t>
      </w:r>
    </w:p>
    <w:p>
      <w:pPr>
        <w:spacing w:after="0" w:line="5" w:lineRule="exact"/>
        <w:rPr>
          <w:sz w:val="20"/>
          <w:szCs w:val="20"/>
          <w:color w:val="auto"/>
        </w:rPr>
      </w:pPr>
    </w:p>
    <w:p>
      <w:pPr>
        <w:jc w:val="both"/>
        <w:ind w:firstLine="8"/>
        <w:spacing w:after="0" w:line="251" w:lineRule="auto"/>
        <w:tabs>
          <w:tab w:leader="none" w:pos="26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 between Israel and Hamas, and the expansion of hostilities to other fronts, which may harm Israel’s economy and HUB Security’s business; (iii) expectations regarding HUB Security’s strategies and future financial performance, including its future business plans or objectives, prospective performance and opportunities and competitors, revenues, products and services, pricing, operating expenses, market trends, liquidity, cash flows and uses of cash, capital expenditures, and HUB Security’s ability to invest in growth initiatives and pursue acquisition opportunities; (iv) the outcome of any legal or regulatory proceedings against HUB Security in connection with our previously announced internal investigation or otherwise; (v) the ability to cure and meet stock exchange continued listing standards and remain listed on the Nasdaq; (vi) competition, the ability of HUB Security to grow and manage growth profitably, maintain relationships with customers and suppliers and retain its management and key employees; (vii) limited liquidity and trading of HUB Security’s securities; (viii) geopolitical risk, including military action and related sanctions, and changes in applicable laws or regulations; (ix) the possibility that HUB Security may be adversely affected by other economic, business, and/or competitive factors; (x) the risk that Claymore will fail to make required installment payments under the settlement agreements with Oppenheimer or Dominion; and (xi) other risks and uncertainties set forth in the sections entitled “Risk Factors” and “Cautionary Statement Regarding Forward-Looking Statements” in HUB Security’s Annual Report on Form 20-F/A filed on October 22, 2024.</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Should one or more of these risks or uncertainties materialize, or should any of the assumptions made by the management of HUB Security prove incorrect, actual results may vary in material respects from those expressed or implied in these forward-looking statements.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subsequent written and oral forward-looking statements concerning the business combination or other matters addressed in this press release and attributable to HUB Security or any person acting on their behalf are expressly qualified in their entirety by the cautionary statements contained or referred to in the press release. Except to the extent required by applicable law or regulation, HUB Security undertakes no obligation to update these forward-looking statements to reflect events or circumstances after the date of this press release to reflect the occurrence of unanticipated events.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Lytham Partners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 Shamsian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646-829-9701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shamsian@lythampartners.com</w:t>
      </w:r>
    </w:p>
    <w:p>
      <w:pPr>
        <w:sectPr>
          <w:pgSz w:w="11900" w:h="16838" w:orient="portrait"/>
          <w:cols w:equalWidth="0" w:num="1">
            <w:col w:w="11240"/>
          </w:cols>
          <w:pgMar w:left="320" w:top="117" w:right="339" w:bottom="159"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HUB Cyber Security Secures Six-Month Extension on $11M Notes, and Strengthens Shareholder Equity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Tel Aviv, Israel – February 19, 2025 – HUB Cyber Security Ltd. (NASDAQ: HUBC) (“HUB” or the “Company”), a global leader in confidential computing and advanced cybersecurity solutions, has secured a six-month extension on $11 million aggregate principal amount of convertible notes (plus accrued interest). This agreement enhances financial stability, optimizes the Company’s capital structure, and supports long-term growth.</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part of the agreement, the investor’s warrants to purchase 13 million ordinary shares were amended to reclassify them from debt to equity, strengthening HUB’s balance sheet. In return, the investor has received warrants to purchase 2 million ordinary shares and pre-funded warrants to purchase 10 million ordinary shares, ensuring long-term shareholder alignment.</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Noah Hershcoviz, CEO of HUB Cyber Security commented: </w:t>
      </w:r>
      <w:r>
        <w:rPr>
          <w:rFonts w:ascii="Times New Roman" w:cs="Times New Roman" w:eastAsia="Times New Roman" w:hAnsi="Times New Roman"/>
          <w:sz w:val="18"/>
          <w:szCs w:val="18"/>
          <w:color w:val="auto"/>
        </w:rPr>
        <w:t>“This extension reflects our ongoing commitment to financial discipline, asset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optimization, and sustained corporate growth. By reinforcing our capital structure, we are confident that HUB is well-positioned to accelerate our market expansion, drive cybersecurity innovation, and create lasting value for our shareholders.”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financial adjustment marks another step in HUB’s strategy to enhance operational flexibility and drive long-term success.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HUB Cyber Security Ltd.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HUB Cyber Security Ltd (“HUB”) was established in 2017 by veterans of the elite intelligence units of the Israeli Defense Forces. The Company specializes in advanced cybersecurity solutions that protect sensitive commercial and government information. HUB’s offerings include encrypted computing technologies that prevent hardware-level intrusions and innovative data theft prevention solutions. Operating in over 30 countries, HUB serves a diverse client base with its cutting-edge cybersecurity appliances and services.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press release contains forward-looking statements for purposes of the safe harbor provisions under the United States Private Securities Litigation Reform Act of 1995, including statements regarding the anticipated benefits to HUB of the acquisition of BlackSwan, anticipated market opportunity, and projected revenues from the combined operations. Forward-looking statements are typically identified by words such as “plan,” “believe,” “expect,” “anticipate,” “intend,” “outlook,” “estimate,” “future,” “forecast,” “project,” “continue,” “could,” “may,” “might,” “possible,” “potential,” “predict,” “seem,” “should,” “will,” “would” and other similar words and expressions, but the absence of these words does not mean that a statement is not forward-looking.</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forward-looking statements are based on the current expectations of the management of HUB Security, as applicable, and are inherently subject to uncertainties and changes in circumstances and their potential effects and speak only as of the date of such statement. There can be no assurance that future developments will be those that have been anticipated. These forward-looking statements involve a number of risks, uncertainties, or other assumptions that may cause actual results or performance to be materially different from those expressed or implied by these forward-looking statements. These risks and uncertainties include, but are not limited to, those discussed and identified in public filings made with the SEC by the HUB Security and the following: (i) significant uncertainty regarding the adequacy of HUB Security’s liquidity and capital resources and its ability to repay its obligations as they become due;</w:t>
      </w:r>
    </w:p>
    <w:p>
      <w:pPr>
        <w:spacing w:after="0" w:line="5" w:lineRule="exact"/>
        <w:rPr>
          <w:sz w:val="20"/>
          <w:szCs w:val="20"/>
          <w:color w:val="auto"/>
        </w:rPr>
      </w:pPr>
    </w:p>
    <w:p>
      <w:pPr>
        <w:jc w:val="both"/>
        <w:ind w:firstLine="8"/>
        <w:spacing w:after="0" w:line="251" w:lineRule="auto"/>
        <w:tabs>
          <w:tab w:leader="none" w:pos="26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 between Israel and Hamas, and the expansion of hostilities to other fronts, which may harm Israel’s economy and HUB Security’s business; (iii) expectations regarding HUB Security’s strategies and future financial performance, including its future business plans or objectives, prospective performance and opportunities and competitors, revenues, products and services, pricing, operating expenses, market trends, liquidity, cash flows and uses of cash, capital expenditures, and HUB Security’s ability to invest in growth initiatives and pursue acquisition opportunities; (iv) the outcome of any legal or regulatory proceedings against HUB Security in connection with our previously announced internal investigation or otherwise; (v) the ability to cure and meet stock exchange continued listing standards and remain listed on the Nasdaq; (vi) competition, the ability of HUB Security to grow and manage growth profitably, maintain relationships with customers and suppliers and retain its management and key employees; (vii) limited liquidity and trading of HUB Security’s securities; (viii) geopolitical risk, including military action and related sanctions, and changes in applicable laws or regulations; (ix) the possibility that HUB Security may be adversely affected by other economic, business, and/or competitive factors; and (x) other risks and uncertainties set forth in the sections entitled “Risk Factors” and “Cautionary Statement Regarding Forward-Looking Statements” in HUB Security’s Annual Report on Form 20-F/A filed on October 22, 2024.</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Should one or more of these risks or uncertainties materialize, or should any of the assumptions made by the management of HUB Security prove incorrect, actual results may vary in material respects from those expressed or implied in these forward-looking statements.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subsequent written and oral forward-looking statements concerning the business combination or other matters addressed in this press release and attributable to HUB Security or any person acting on their behalf are expressly qualified in their entirety by the cautionary statements contained or referred to in the press release. Except to the extent required by applicable law or regulation, HUB Security undertakes no obligation to update these forward-looking statements to reflect events or circumstances after the date of this press release to reflect the occurrence of unanticipated events.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Lytham Partners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 Shamsian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646-829-9701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shamsian@lythampartners.com</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J.%1."/>
      <w:numFmt w:val="upperLetter"/>
      <w:start w:val="10"/>
    </w:lvl>
  </w:abstractNum>
  <w:abstractNum w:abstractNumId="1">
    <w:nsid w:val="74B0DC51"/>
    <w:multiLevelType w:val="hybridMultilevel"/>
    <w:lvl w:ilvl="0">
      <w:lvlJc w:val="left"/>
      <w:lvlText w:val="(%1)"/>
      <w:numFmt w:val="lowerRoman"/>
      <w:start w:val="2"/>
    </w:lvl>
  </w:abstractNum>
  <w:abstractNum w:abstractNumId="2">
    <w:nsid w:val="19495CFF"/>
    <w:multiLevelType w:val="hybridMultilevel"/>
    <w:lvl w:ilvl="0">
      <w:lvlJc w:val="left"/>
      <w:lvlText w:val="(%1)"/>
      <w:numFmt w:val="lowerRoman"/>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2025-02-20T16:05:40Z</dcterms:created>
  <dcterms:modified xsi:type="dcterms:W3CDTF">2025-02-20T16:05:40Z</dcterms:modified>
</cp:coreProperties>
</file>