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5812-6k_hubcyber.htm"/>
      <w:bookmarkStart w:id="1" w:name="ksea03058126k_hubcyber"/>
      <w:bookmarkEnd w:id="0"/>
      <w:bookmarkEnd w:id="1"/>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6-K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HUB Cyber Security Ltd.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 Applicable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(Translation of registrant’s name into English)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Hacharoshet Street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Yehuda, Israel</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+972-3-924-4074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Form 20-F        ☐ Form 40-F</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CONTENTS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Press Release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the Company issued a press release titled “HUB Announces Reverse Share Split.” A copy of each of this press release is attached to this Form 6-K as Exhibit 99.1 and is incorporated herein by reference.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Report on Form 6-K, including Exhibit 99.1,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p>
      <w:pPr>
        <w:pStyle w:val="TextBody"/>
        <w:bidi w:val="0"/>
        <w:jc w:val="left"/>
        <w:rPr>
          <w:caps w:val="false"/>
          <w:smallCaps w:val="false"/>
        </w:rPr>
      </w:pPr>
      <w:r>
        <w:rPr>
          <w:caps w:val="false"/>
          <w:smallCaps w:val="false"/>
        </w:rPr>
        <w:t> </w:t>
      </w:r>
    </w:p>
    <w:tbl>
      <w:tblPr>
        <w:tblW w:w="4375" w:type="dxa"/>
        <w:jc w:val="left"/>
        <w:tblInd w:w="0" w:type="dxa"/>
        <w:tblLayout w:type="fixed"/>
        <w:tblCellMar>
          <w:top w:w="0" w:type="dxa"/>
          <w:left w:w="0" w:type="dxa"/>
          <w:bottom w:w="28" w:type="dxa"/>
          <w:right w:w="0" w:type="dxa"/>
        </w:tblCellMar>
      </w:tblPr>
      <w:tblGrid>
        <w:gridCol w:w="995"/>
        <w:gridCol w:w="60"/>
        <w:gridCol w:w="332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20" w:type="dxa"/>
            <w:tcBorders/>
            <w:shd w:fill="CCEEFF" w:val="clear"/>
            <w:tcMar>
              <w:bottom w:w="0" w:type="dxa"/>
            </w:tcMar>
            <w:vAlign w:val="center"/>
          </w:tcPr>
          <w:p>
            <w:pPr>
              <w:pStyle w:val="TableContents"/>
              <w:bidi w:val="0"/>
              <w:spacing w:before="0" w:after="283"/>
              <w:jc w:val="left"/>
              <w:rPr/>
            </w:pPr>
            <w:hyperlink w:anchor="ea030581201ex99-1.htm">
              <w:r>
                <w:rPr>
                  <w:rStyle w:val="InternetLink"/>
                  <w:rFonts w:ascii="Times New Roman;Times;Serif" w:hAnsi="Times New Roman;Times;Serif"/>
                  <w:b w:val="false"/>
                  <w:i w:val="false"/>
                  <w:caps w:val="false"/>
                  <w:smallCaps w:val="false"/>
                  <w:sz w:val="20"/>
                </w:rPr>
                <w:t>Press Release dated September 10, 2026</w:t>
              </w:r>
            </w:hyperlink>
            <w:r>
              <w:rPr>
                <w:rFonts w:ascii="Times New Roman;Times;Serif" w:hAnsi="Times New Roman;Times;Serif"/>
                <w:b w:val="false"/>
                <w:i w:val="false"/>
                <w:caps w:val="false"/>
                <w:smallCaps w:val="false"/>
                <w:sz w:val="20"/>
              </w:rPr>
              <w:t xml:space="preserve"> </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jc w:val="center"/>
        <w:rPr>
          <w:caps w:val="false"/>
          <w:smallCaps w:val="false"/>
        </w:rPr>
      </w:pPr>
      <w:r>
        <w:rPr>
          <w:caps w:val="false"/>
          <w:smallCaps w:val="false"/>
        </w:rPr>
        <w:t> </w:t>
      </w:r>
    </w:p>
    <w:tbl>
      <w:tblPr>
        <w:tblW w:w="4350" w:type="dxa"/>
        <w:jc w:val="left"/>
        <w:tblInd w:w="0" w:type="dxa"/>
        <w:tblLayout w:type="fixed"/>
        <w:tblCellMar>
          <w:top w:w="0" w:type="dxa"/>
          <w:left w:w="0" w:type="dxa"/>
          <w:bottom w:w="0" w:type="dxa"/>
          <w:right w:w="0" w:type="dxa"/>
        </w:tblCellMar>
      </w:tblPr>
      <w:tblGrid>
        <w:gridCol w:w="2135"/>
        <w:gridCol w:w="320"/>
        <w:gridCol w:w="1895"/>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2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Cyber Security Ltd.</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17,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Limor Zur-Stoller</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Limor Zur-Stoller</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581201ex99-1.htm"/>
      <w:bookmarkStart w:id="3" w:name="ksea0305812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HUB Announces Reverse Share Split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Tel-Aviv, Israel</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September 10, 2026</w:t>
      </w:r>
      <w:r>
        <w:rPr>
          <w:rFonts w:ascii="Times New Roman;Times;Serif" w:hAnsi="Times New Roman;Times;Serif"/>
          <w:b w:val="false"/>
          <w:i w:val="false"/>
          <w:caps w:val="false"/>
          <w:smallCaps w:val="false"/>
          <w:sz w:val="20"/>
        </w:rPr>
        <w:t xml:space="preserve"> – Hub Cyber Security Ltd. (Nasdaq: HUBC) (“HUB Security” or the “Company”), a global provider of confidential computing and secured data fabric technologies, today announced a 1-for-25 reverse share split of its ordinary shares, no par value per share (the “Ordinary Shares”). The reverse share split and corresponding share capital adjustment will become effective at 11:59 p.m. Eastern Time on Friday, September 11, 2026. The Ordinary Shares will begin trading on a split-adjusted basis on The Nasdaq Stock Market LLC (“Nasdaq”) at the open of business on Monday, September 14, 2026, under the existing trading symbol “HUBC,” but the Ordinary Shares will trade under a new CUSIP number, M6000J309. HUB Security’s outstanding warrants will continue to be traded under the symbols “HUBCW” and “HUBCZ” and the CUSIP numbers for such warrants will remain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reverse share split, every 25 issued and outstanding Ordinary Shares will automatically be converted into one Ordinary Share. No fractional shares will be issued as a result of the reverse share split. Instead, all fractional shares will be rounded down to the nearest whole share. The reverse share split affects all shareholders uniformly and will not alter any shareholder’s percentage ownership interest in the Company’s issued and outstanding Ordinary Shares, except for adjustments that may result from the treatment of fractional shares. As of the date hereof, the Company had 44,895,531 Ordinary Shares issued and outstanding, which, following the effectiveness of the reverse share split, will result in 1,795,821 Ordinary Shares outstanding on a post-split basis (taking into effect the settlement of 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share split will also affect the Company’s derivative securities, including outstanding notes, options, warrants and restricted share units (collectively, the “Outstanding Equity Rights”). Generally, the plans and other documents pertaining to the Outstanding Equity Rights include provisions providing for adjustments in the event of a reverse share split in order to maintain the same economic effect. Specifically, the exercise price and the number of Ordinary Shares issuable pursuant to Outstanding Equity Rights will be adjusted pursuant to the terms of such instruments in connection with the reverse share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the reverse share split will increase the per share trading price of the Ordinary Shares and enable the Company to maintain compliance with the minimum bid price requirement in Nasdaq Listing Rule 5450(a)(1).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the reverse share split can be found in the Company’s proxy statement furnished to the Securities and Exchange Commission on August 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information or inquiries, please contact: info@hubsecurity.com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HUB Security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Cyber Security Ltd. (Nasdaq: HUBC) has operated in confidential computing, AI-driven data fabric, and cybersecurity. HUB’s Secured Data Fabric has historically empowered organizations to virtualize, secure, and analyze sensitive data across borders and silos generating real-time intelligence while meeting the highest regulatory standards. HUB is currently implementing a comprehensive restructuring, during which its Board of Directors and management team have taken steps to improve liquidity, simplify the Company’s organizational structure, cut operating costs and strengthen corporate governance. The Board of Directors continues to explore various strategic alternatives intended to maximize value for shareholders and position HUB for future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for purposes of the safe harbor provisions under the United States Private Securities Litigation Reform Act of 1995. Forward-looking statements are typically identified by words such as “plan,” “believe,” “expect,” “anticipate,” “intend,” “outlook,” “estimate,” “future,” “forecast,” “project,” “continue,” “could,” “may,” “might,” “possible,” “potential,” “predict,” “seem,” “should,” “will,” “would” and other similar words and expressions, but the absence of these words does not mean that a statement is not forward-looking.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are based on the current expectations of the management of HUB Security, as applicable,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discussed and identified in public filings made with the SEC by the HUB Security and the following: (i) significant uncertainty regarding the adequacy of HUB’s liquidity and capital resources and its ability to repay its obligations as they become due; (ii) the war between Israel and Hamas commenced in October 2023, which may harm Israel’s economy and HUB’s business; (iii) expectations regarding HUB’s strategies and future financial performance, including its future business plans or objectives, prospective performance and opportunities and competitors, revenues, products and services, pricing, operating expenses, market trends, liquidity, cash flows and uses of cash, capital expenditures, and HUB’s ability to invest in growth initiatives and pursue acquisition opportunities; (iv) the outcome of any legal or regulatory proceedings against HUB in connection with our previously announced internal investigation or otherwise; (v) the ability to meet stock exchange continued listing standards and remain listed on the Nasdaq; (vi) competition, the ability of HUB to grow and manage growth profitably, maintain relationships with customers and suppliers and retain its management and key employees; (vii) limited liquidity and trading of HUB’s securities; (viii) geopolitical risk, including military action and related sanctions, and changes in applicable laws or regulations; (ix) the possibility that HUB may be adversely affected by other economic, business, and/or competitive factors; and (x) other risks and uncertainties set forth in the sections entitled “Risk Factors” and “Cautionary Statement Regarding Forward-Looking Statements” in HUB’s Annual Report on Form 20-F filed on July 17, 2026. Should one or more of these risks or uncertainties materialize or should any of the assumptions made by the management of HUB prove incorrect, actual results may vary in material respects from those expressed or implied in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any of the assumptions made by the management of HUB Security prove incorrect, actual results may vary in material respects from those expressed or implied in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subsequent written and oral forward-looking statements concerning the business combination or other matters addressed in this press release and attributable to HUB Security or any person acting on their behalf are expressly qualified in their entirety by the cautionary statements contained or referred to in the press release. Except to the extent required by applicable law or regulation, HUB Security undertakes no obligation to update these forward-looking statements to reflect events or circumstances after the date of this press release to reflect the occurrence of unanticipated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1424</Words>
  <Characters>8176</Characters>
  <CharactersWithSpaces>9629</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